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Arial" w:cs="Arial" w:eastAsia="Arial" w:hAnsi="Arial"/>
          <w:b w:val="1"/>
          <w:color w:val="000000"/>
          <w:sz w:val="22"/>
          <w:szCs w:val="22"/>
          <w:u w:val="single"/>
        </w:rPr>
      </w:pPr>
      <w:bookmarkStart w:colFirst="0" w:colLast="0" w:name="_gjdgxs" w:id="0"/>
      <w:bookmarkEnd w:id="0"/>
      <w:r w:rsidDel="00000000" w:rsidR="00000000" w:rsidRPr="00000000">
        <w:rPr>
          <w:rFonts w:ascii="Arial" w:cs="Arial" w:eastAsia="Arial" w:hAnsi="Arial"/>
          <w:b w:val="1"/>
          <w:color w:val="000000"/>
          <w:sz w:val="22"/>
          <w:szCs w:val="22"/>
          <w:u w:val="single"/>
          <w:rtl w:val="0"/>
        </w:rPr>
        <w:t xml:space="preserve">Canterbury City Council response to Inspector’s letter dated 01/04/15 points 1, 2 and 7</w:t>
      </w:r>
    </w:p>
    <w:p w:rsidR="00000000" w:rsidDel="00000000" w:rsidP="00000000" w:rsidRDefault="00000000" w:rsidRPr="00000000" w14:paraId="00000002">
      <w:pPr>
        <w:pageBreakBefore w:val="0"/>
        <w:rPr>
          <w:color w:val="000000"/>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Inspector’s question:</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Housing land supply</w:t>
      </w:r>
    </w:p>
    <w:p w:rsidR="00000000" w:rsidDel="00000000" w:rsidP="00000000" w:rsidRDefault="00000000" w:rsidRPr="00000000" w14:paraId="0000000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should like to be clear about the Council’s position on the 5 year housing land supply, the housing trajectory for the plan period and the sites that are comprised in these.  Some details are included in Table H4 and Appendix 2 of the Publication Draft Local Plan (LP).  These have been updated in Topic Paper 2: Housing (CDLP 5.6) in the two tables following paras 6.17 and 6.18 and in the Appendix.  There are also detailed tables and figures in the Housing Information Audit (CDLP 5.4).  </w:t>
      </w:r>
      <w:r w:rsidDel="00000000" w:rsidR="00000000" w:rsidRPr="00000000">
        <w:rPr>
          <w:rtl w:val="0"/>
        </w:rPr>
      </w:r>
    </w:p>
    <w:p w:rsidR="00000000" w:rsidDel="00000000" w:rsidP="00000000" w:rsidRDefault="00000000" w:rsidRPr="00000000" w14:paraId="00000007">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Topic Paper tables show 1,623 completions between 2011 and 2014 (the first 3 years of the plan period) which is 541 dwellings per annum, short of the average required.  This shortfall is shown as being addressed across the whole of the plan period rather than in the first 5 years, as favoured by the National Planning Practice Guidance (3-035).  I should be grateful if the Council could confirm this.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Council’s Response:</w:t>
      </w:r>
    </w:p>
    <w:p w:rsidR="00000000" w:rsidDel="00000000" w:rsidP="00000000" w:rsidRDefault="00000000" w:rsidRPr="00000000" w14:paraId="0000000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Local Plan Publication Version was produced in June 2014 and therefore the previous year’s (2012/13) housing figures from the Housing Information Audit 2013 were used as the 2014 survey was only just underway.  By the time the Local Plan was submitted in November, the 2014 survey had been completed and so the Council included the up to date figures in the housing Topic Paper.  The Council confirms that the shortfall is being addressed across the whole plan period (Liverpool method) rather than the first 5 years. This is because the main strategic sites provide in excess of the housing requirement over the plan period, taking into account completions for 2011-13/14, extant planning permissions and other smaller allocations.  There will necessarily be a lead time before these sites start to deliver completions as they require a series of major infrastructure projects to be instituted prior to development.  Once the road improvements are in place, development and completions of the greenfield strategic sites can take place relatively quickly as can be seen by the trajectory set out in the Topic Paper.</w:t>
      </w:r>
    </w:p>
    <w:p w:rsidR="00000000" w:rsidDel="00000000" w:rsidP="00000000" w:rsidRDefault="00000000" w:rsidRPr="00000000" w14:paraId="0000000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total number of units planned for the remaining  plan period, as detailed in the table under phasing, is 14,606 and if this is added to the  completions that have taken place from 1</w:t>
      </w:r>
      <w:r w:rsidDel="00000000" w:rsidR="00000000" w:rsidRPr="00000000">
        <w:rPr>
          <w:rFonts w:ascii="Arial" w:cs="Arial" w:eastAsia="Arial" w:hAnsi="Arial"/>
          <w:color w:val="000000"/>
          <w:sz w:val="22"/>
          <w:szCs w:val="22"/>
          <w:vertAlign w:val="superscript"/>
          <w:rtl w:val="0"/>
        </w:rPr>
        <w:t xml:space="preserve">st</w:t>
      </w:r>
      <w:r w:rsidDel="00000000" w:rsidR="00000000" w:rsidRPr="00000000">
        <w:rPr>
          <w:rFonts w:ascii="Arial" w:cs="Arial" w:eastAsia="Arial" w:hAnsi="Arial"/>
          <w:color w:val="000000"/>
          <w:sz w:val="22"/>
          <w:szCs w:val="22"/>
          <w:rtl w:val="0"/>
        </w:rPr>
        <w:t xml:space="preserve"> April  2011 to 31</w:t>
      </w:r>
      <w:r w:rsidDel="00000000" w:rsidR="00000000" w:rsidRPr="00000000">
        <w:rPr>
          <w:rFonts w:ascii="Arial" w:cs="Arial" w:eastAsia="Arial" w:hAnsi="Arial"/>
          <w:color w:val="000000"/>
          <w:sz w:val="22"/>
          <w:szCs w:val="22"/>
          <w:vertAlign w:val="superscript"/>
          <w:rtl w:val="0"/>
        </w:rPr>
        <w:t xml:space="preserve">st</w:t>
      </w:r>
      <w:r w:rsidDel="00000000" w:rsidR="00000000" w:rsidRPr="00000000">
        <w:rPr>
          <w:rFonts w:ascii="Arial" w:cs="Arial" w:eastAsia="Arial" w:hAnsi="Arial"/>
          <w:color w:val="000000"/>
          <w:sz w:val="22"/>
          <w:szCs w:val="22"/>
          <w:rtl w:val="0"/>
        </w:rPr>
        <w:t xml:space="preserve"> March 2014 1623 units, this gives a total supply over the plan period of 16,229 units which gives a surplus of 629 units.</w:t>
      </w:r>
    </w:p>
    <w:p w:rsidR="00000000" w:rsidDel="00000000" w:rsidP="00000000" w:rsidRDefault="00000000" w:rsidRPr="00000000" w14:paraId="0000000D">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Inspector’s question</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need for clarity about which sites are included in the different figures in the two tables.  There are no totals shown in the tables in the Topic Paper Appendix.  Could the Council confirm that the ‘allocations’ and ‘planning permissions’ in the 2 Topic Paper tables and the Audit document are derived from, and therefore consistent with, the Appendix. </w:t>
      </w:r>
      <w:r w:rsidDel="00000000" w:rsidR="00000000" w:rsidRPr="00000000">
        <w:rPr>
          <w:rtl w:val="0"/>
        </w:rPr>
      </w:r>
    </w:p>
    <w:p w:rsidR="00000000" w:rsidDel="00000000" w:rsidP="00000000" w:rsidRDefault="00000000" w:rsidRPr="00000000" w14:paraId="00000010">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Council’s Response:</w:t>
      </w:r>
    </w:p>
    <w:p w:rsidR="00000000" w:rsidDel="00000000" w:rsidP="00000000" w:rsidRDefault="00000000" w:rsidRPr="00000000" w14:paraId="0000001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Yes the tables in the Topic Paper are the same as the Housing Information Audit.</w:t>
      </w:r>
    </w:p>
    <w:p w:rsidR="00000000" w:rsidDel="00000000" w:rsidP="00000000" w:rsidRDefault="00000000" w:rsidRPr="00000000" w14:paraId="00000015">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Inspector’s Question: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note that the last two columns of the ‘Strategic Allocations’ table have overlapping time periods.  Is it the case that the last column should read ‘2029-31’ as in the ‘Other Housing Allocations’ table?  </w:t>
      </w:r>
      <w:r w:rsidDel="00000000" w:rsidR="00000000" w:rsidRPr="00000000">
        <w:rPr>
          <w:rtl w:val="0"/>
        </w:rPr>
      </w:r>
    </w:p>
    <w:p w:rsidR="00000000" w:rsidDel="00000000" w:rsidP="00000000" w:rsidRDefault="00000000" w:rsidRPr="00000000" w14:paraId="00000018">
      <w:pPr>
        <w:pageBreakBefore w:val="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Council’s Response:</w:t>
      </w:r>
    </w:p>
    <w:p w:rsidR="00000000" w:rsidDel="00000000" w:rsidP="00000000" w:rsidRDefault="00000000" w:rsidRPr="00000000" w14:paraId="0000001A">
      <w:pPr>
        <w:pageBreakBefore w:val="0"/>
        <w:ind w:left="360"/>
        <w:rPr>
          <w:rFonts w:ascii="Arial" w:cs="Arial" w:eastAsia="Arial" w:hAnsi="Arial"/>
          <w:color w:val="000000"/>
          <w:sz w:val="22"/>
          <w:szCs w:val="22"/>
          <w:u w:val="single"/>
        </w:rPr>
      </w:pPr>
      <w:r w:rsidDel="00000000" w:rsidR="00000000" w:rsidRPr="00000000">
        <w:rPr>
          <w:rFonts w:ascii="Arial" w:cs="Arial" w:eastAsia="Arial" w:hAnsi="Arial"/>
          <w:color w:val="000000"/>
          <w:sz w:val="22"/>
          <w:szCs w:val="22"/>
          <w:rtl w:val="0"/>
        </w:rPr>
        <w:t xml:space="preserve">This is a typographical error and the last column should read 2029-31.  Please find attached a replacement table.</w:t>
      </w:r>
      <w:r w:rsidDel="00000000" w:rsidR="00000000" w:rsidRPr="00000000">
        <w:rPr>
          <w:rtl w:val="0"/>
        </w:rPr>
      </w:r>
    </w:p>
    <w:p w:rsidR="00000000" w:rsidDel="00000000" w:rsidP="00000000" w:rsidRDefault="00000000" w:rsidRPr="00000000" w14:paraId="0000001B">
      <w:pPr>
        <w:pageBreakBefore w:val="0"/>
        <w:ind w:left="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Council would also like to point out to the Inspector that there is a formatting problem with the year 4 and 5 columns in the Other Housing Allocations table – the two columns seem to have merged.  Please see revised table in the appendix to this letter.  The Council confirms that this has been amended on the website.</w:t>
      </w:r>
    </w:p>
    <w:p w:rsidR="00000000" w:rsidDel="00000000" w:rsidP="00000000" w:rsidRDefault="00000000" w:rsidRPr="00000000" w14:paraId="0000001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Inspector’s Question: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Phasing</w:t>
      </w:r>
    </w:p>
    <w:p w:rsidR="00000000" w:rsidDel="00000000" w:rsidP="00000000" w:rsidRDefault="00000000" w:rsidRPr="00000000" w14:paraId="0000001F">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There are various references in the LP document to phasing.  Policy SP2 sets out “broad phasing” for 5 year time periods, cross referring to the detailed trajectory in Appendix 2.  However, it is not clear how the figures in Policy SP2 relate to those in the summary table in the Appendix, particularly as the time periods in the policy are different to those in the Appendix.  An explanation of this would be of assistance, perhaps using the updated figures from the Topic Paper.  </w:t>
      </w:r>
    </w:p>
    <w:p w:rsidR="00000000" w:rsidDel="00000000" w:rsidP="00000000" w:rsidRDefault="00000000" w:rsidRPr="00000000" w14:paraId="00000021">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Council’s Response:</w:t>
      </w:r>
    </w:p>
    <w:p w:rsidR="00000000" w:rsidDel="00000000" w:rsidP="00000000" w:rsidRDefault="00000000" w:rsidRPr="00000000" w14:paraId="00000023">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SP2 sets out the broad requirements over the plan period reflecting the lead time for the required large infrastructure projects to be put in place prior to development of the strategic sites mentioned earlier.  The summary table is a snapshot in time and is the detailed phasing of sites either allocated or with planning permission i.e. in the pipeline as at 31 March 2013.  It therefore does not include the sites that have already been built during the periods 2011-12 and 2012-13.  It also can not include those unidentified sites which will be granted post 31</w:t>
      </w:r>
      <w:r w:rsidDel="00000000" w:rsidR="00000000" w:rsidRPr="00000000">
        <w:rPr>
          <w:rFonts w:ascii="Arial" w:cs="Arial" w:eastAsia="Arial" w:hAnsi="Arial"/>
          <w:color w:val="000000"/>
          <w:sz w:val="22"/>
          <w:szCs w:val="22"/>
          <w:vertAlign w:val="superscript"/>
          <w:rtl w:val="0"/>
        </w:rPr>
        <w:t xml:space="preserve">st</w:t>
      </w:r>
      <w:r w:rsidDel="00000000" w:rsidR="00000000" w:rsidRPr="00000000">
        <w:rPr>
          <w:rFonts w:ascii="Arial" w:cs="Arial" w:eastAsia="Arial" w:hAnsi="Arial"/>
          <w:color w:val="000000"/>
          <w:sz w:val="22"/>
          <w:szCs w:val="22"/>
          <w:rtl w:val="0"/>
        </w:rPr>
        <w:t xml:space="preserve"> March 2013 where the total number of units is greater than 138 – the windfall allowance. This appendix has been superseded by the figures in the Housing Topic Paper which include the figures for the monitoring year of 2013-14.</w:t>
      </w:r>
    </w:p>
    <w:p w:rsidR="00000000" w:rsidDel="00000000" w:rsidP="00000000" w:rsidRDefault="00000000" w:rsidRPr="00000000" w14:paraId="0000002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replacement table is available below and does not take into account those sites completed between 2011-2014.</w:t>
      </w:r>
    </w:p>
    <w:p w:rsidR="00000000" w:rsidDel="00000000" w:rsidP="00000000" w:rsidRDefault="00000000" w:rsidRPr="00000000" w14:paraId="00000025">
      <w:pPr>
        <w:pageBreakBefore w:val="0"/>
        <w:rPr>
          <w:rFonts w:ascii="Arial" w:cs="Arial" w:eastAsia="Arial" w:hAnsi="Arial"/>
          <w:color w:val="000000"/>
          <w:sz w:val="22"/>
          <w:szCs w:val="22"/>
        </w:rPr>
      </w:pPr>
      <w:r w:rsidDel="00000000" w:rsidR="00000000" w:rsidRPr="00000000">
        <w:rPr>
          <w:rtl w:val="0"/>
        </w:rPr>
      </w:r>
    </w:p>
    <w:tbl>
      <w:tblPr>
        <w:tblStyle w:val="Table1"/>
        <w:tblW w:w="924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976"/>
        <w:gridCol w:w="976"/>
        <w:gridCol w:w="975"/>
        <w:gridCol w:w="975"/>
        <w:gridCol w:w="975"/>
        <w:gridCol w:w="975"/>
        <w:gridCol w:w="975"/>
        <w:gridCol w:w="975"/>
        <w:tblGridChange w:id="0">
          <w:tblGrid>
            <w:gridCol w:w="1440"/>
            <w:gridCol w:w="976"/>
            <w:gridCol w:w="976"/>
            <w:gridCol w:w="975"/>
            <w:gridCol w:w="975"/>
            <w:gridCol w:w="975"/>
            <w:gridCol w:w="975"/>
            <w:gridCol w:w="975"/>
            <w:gridCol w:w="975"/>
          </w:tblGrid>
        </w:tblGridChange>
      </w:tblGrid>
      <w:tr>
        <w:trPr>
          <w:cantSplit w:val="0"/>
          <w:tblHeader w:val="0"/>
        </w:trPr>
        <w:tc>
          <w:tcPr/>
          <w:p w:rsidR="00000000" w:rsidDel="00000000" w:rsidP="00000000" w:rsidRDefault="00000000" w:rsidRPr="00000000" w14:paraId="0000002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Component of housing land supply</w:t>
            </w:r>
          </w:p>
        </w:tc>
        <w:tc>
          <w:tcPr/>
          <w:p w:rsidR="00000000" w:rsidDel="00000000" w:rsidP="00000000" w:rsidRDefault="00000000" w:rsidRPr="00000000" w14:paraId="0000002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2014-15</w:t>
            </w:r>
          </w:p>
        </w:tc>
        <w:tc>
          <w:tcPr/>
          <w:p w:rsidR="00000000" w:rsidDel="00000000" w:rsidP="00000000" w:rsidRDefault="00000000" w:rsidRPr="00000000" w14:paraId="0000002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2015-16</w:t>
            </w:r>
          </w:p>
        </w:tc>
        <w:tc>
          <w:tcPr/>
          <w:p w:rsidR="00000000" w:rsidDel="00000000" w:rsidP="00000000" w:rsidRDefault="00000000" w:rsidRPr="00000000" w14:paraId="0000002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2016-17</w:t>
            </w:r>
          </w:p>
        </w:tc>
        <w:tc>
          <w:tcPr/>
          <w:p w:rsidR="00000000" w:rsidDel="00000000" w:rsidP="00000000" w:rsidRDefault="00000000" w:rsidRPr="00000000" w14:paraId="0000002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2017-18</w:t>
            </w:r>
          </w:p>
        </w:tc>
        <w:tc>
          <w:tcPr/>
          <w:p w:rsidR="00000000" w:rsidDel="00000000" w:rsidP="00000000" w:rsidRDefault="00000000" w:rsidRPr="00000000" w14:paraId="0000002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2018-19</w:t>
            </w:r>
          </w:p>
        </w:tc>
        <w:tc>
          <w:tcPr/>
          <w:p w:rsidR="00000000" w:rsidDel="00000000" w:rsidP="00000000" w:rsidRDefault="00000000" w:rsidRPr="00000000" w14:paraId="0000002C">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2019-24</w:t>
            </w:r>
          </w:p>
        </w:tc>
        <w:tc>
          <w:tcPr/>
          <w:p w:rsidR="00000000" w:rsidDel="00000000" w:rsidP="00000000" w:rsidRDefault="00000000" w:rsidRPr="00000000" w14:paraId="0000002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2024-29</w:t>
            </w:r>
          </w:p>
        </w:tc>
        <w:tc>
          <w:tcPr/>
          <w:p w:rsidR="00000000" w:rsidDel="00000000" w:rsidP="00000000" w:rsidRDefault="00000000" w:rsidRPr="00000000" w14:paraId="0000002E">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2029-31</w:t>
            </w:r>
          </w:p>
        </w:tc>
      </w:tr>
      <w:tr>
        <w:trPr>
          <w:cantSplit w:val="0"/>
          <w:tblHeader w:val="0"/>
        </w:trPr>
        <w:tc>
          <w:tcPr/>
          <w:p w:rsidR="00000000" w:rsidDel="00000000" w:rsidP="00000000" w:rsidRDefault="00000000" w:rsidRPr="00000000" w14:paraId="0000002F">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Strategic sites and other allocations</w:t>
            </w:r>
          </w:p>
        </w:tc>
        <w:tc>
          <w:tcPr/>
          <w:p w:rsidR="00000000" w:rsidDel="00000000" w:rsidP="00000000" w:rsidRDefault="00000000" w:rsidRPr="00000000" w14:paraId="0000003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3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350</w:t>
            </w:r>
          </w:p>
        </w:tc>
        <w:tc>
          <w:tcPr/>
          <w:p w:rsidR="00000000" w:rsidDel="00000000" w:rsidP="00000000" w:rsidRDefault="00000000" w:rsidRPr="00000000" w14:paraId="00000032">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696</w:t>
            </w:r>
          </w:p>
        </w:tc>
        <w:tc>
          <w:tcPr/>
          <w:p w:rsidR="00000000" w:rsidDel="00000000" w:rsidP="00000000" w:rsidRDefault="00000000" w:rsidRPr="00000000" w14:paraId="00000033">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955</w:t>
            </w:r>
          </w:p>
        </w:tc>
        <w:tc>
          <w:tcPr/>
          <w:p w:rsidR="00000000" w:rsidDel="00000000" w:rsidP="00000000" w:rsidRDefault="00000000" w:rsidRPr="00000000" w14:paraId="0000003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1000</w:t>
            </w:r>
          </w:p>
        </w:tc>
        <w:tc>
          <w:tcPr/>
          <w:p w:rsidR="00000000" w:rsidDel="00000000" w:rsidP="00000000" w:rsidRDefault="00000000" w:rsidRPr="00000000" w14:paraId="00000035">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2965</w:t>
            </w:r>
          </w:p>
        </w:tc>
        <w:tc>
          <w:tcPr/>
          <w:p w:rsidR="00000000" w:rsidDel="00000000" w:rsidP="00000000" w:rsidRDefault="00000000" w:rsidRPr="00000000" w14:paraId="00000036">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2875</w:t>
            </w:r>
          </w:p>
        </w:tc>
        <w:tc>
          <w:tcPr/>
          <w:p w:rsidR="00000000" w:rsidDel="00000000" w:rsidP="00000000" w:rsidRDefault="00000000" w:rsidRPr="00000000" w14:paraId="00000037">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1800</w:t>
            </w:r>
          </w:p>
        </w:tc>
      </w:tr>
      <w:tr>
        <w:trPr>
          <w:cantSplit w:val="0"/>
          <w:tblHeader w:val="0"/>
        </w:trPr>
        <w:tc>
          <w:tcPr/>
          <w:p w:rsidR="00000000" w:rsidDel="00000000" w:rsidP="00000000" w:rsidRDefault="00000000" w:rsidRPr="00000000" w14:paraId="0000003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Existing allocations from 2006</w:t>
            </w:r>
          </w:p>
        </w:tc>
        <w:tc>
          <w:tcPr/>
          <w:p w:rsidR="00000000" w:rsidDel="00000000" w:rsidP="00000000" w:rsidRDefault="00000000" w:rsidRPr="00000000" w14:paraId="00000039">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3A">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119</w:t>
            </w:r>
          </w:p>
        </w:tc>
        <w:tc>
          <w:tcPr/>
          <w:p w:rsidR="00000000" w:rsidDel="00000000" w:rsidP="00000000" w:rsidRDefault="00000000" w:rsidRPr="00000000" w14:paraId="0000003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93</w:t>
            </w:r>
          </w:p>
        </w:tc>
        <w:tc>
          <w:tcPr/>
          <w:p w:rsidR="00000000" w:rsidDel="00000000" w:rsidP="00000000" w:rsidRDefault="00000000" w:rsidRPr="00000000" w14:paraId="0000003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363</w:t>
            </w:r>
          </w:p>
        </w:tc>
        <w:tc>
          <w:tcPr/>
          <w:p w:rsidR="00000000" w:rsidDel="00000000" w:rsidP="00000000" w:rsidRDefault="00000000" w:rsidRPr="00000000" w14:paraId="0000003D">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75</w:t>
            </w:r>
          </w:p>
        </w:tc>
        <w:tc>
          <w:tcPr/>
          <w:p w:rsidR="00000000" w:rsidDel="00000000" w:rsidP="00000000" w:rsidRDefault="00000000" w:rsidRPr="00000000" w14:paraId="0000003E">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31</w:t>
            </w:r>
          </w:p>
        </w:tc>
        <w:tc>
          <w:tcPr/>
          <w:p w:rsidR="00000000" w:rsidDel="00000000" w:rsidP="00000000" w:rsidRDefault="00000000" w:rsidRPr="00000000" w14:paraId="0000003F">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34</w:t>
            </w:r>
          </w:p>
        </w:tc>
        <w:tc>
          <w:tcPr/>
          <w:p w:rsidR="00000000" w:rsidDel="00000000" w:rsidP="00000000" w:rsidRDefault="00000000" w:rsidRPr="00000000" w14:paraId="0000004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r>
      <w:tr>
        <w:trPr>
          <w:cantSplit w:val="0"/>
          <w:tblHeader w:val="0"/>
        </w:trPr>
        <w:tc>
          <w:tcPr/>
          <w:p w:rsidR="00000000" w:rsidDel="00000000" w:rsidP="00000000" w:rsidRDefault="00000000" w:rsidRPr="00000000" w14:paraId="0000004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Planning permissions HIA 2013</w:t>
            </w:r>
          </w:p>
        </w:tc>
        <w:tc>
          <w:tcPr/>
          <w:p w:rsidR="00000000" w:rsidDel="00000000" w:rsidP="00000000" w:rsidRDefault="00000000" w:rsidRPr="00000000" w14:paraId="00000042">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302</w:t>
            </w:r>
          </w:p>
        </w:tc>
        <w:tc>
          <w:tcPr/>
          <w:p w:rsidR="00000000" w:rsidDel="00000000" w:rsidP="00000000" w:rsidRDefault="00000000" w:rsidRPr="00000000" w14:paraId="00000043">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365</w:t>
            </w:r>
          </w:p>
        </w:tc>
        <w:tc>
          <w:tcPr/>
          <w:p w:rsidR="00000000" w:rsidDel="00000000" w:rsidP="00000000" w:rsidRDefault="00000000" w:rsidRPr="00000000" w14:paraId="00000044">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166</w:t>
            </w:r>
          </w:p>
        </w:tc>
        <w:tc>
          <w:tcPr/>
          <w:p w:rsidR="00000000" w:rsidDel="00000000" w:rsidP="00000000" w:rsidRDefault="00000000" w:rsidRPr="00000000" w14:paraId="00000045">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71</w:t>
            </w:r>
          </w:p>
        </w:tc>
        <w:tc>
          <w:tcPr/>
          <w:p w:rsidR="00000000" w:rsidDel="00000000" w:rsidP="00000000" w:rsidRDefault="00000000" w:rsidRPr="00000000" w14:paraId="00000046">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47">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48">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c>
          <w:tcPr/>
          <w:p w:rsidR="00000000" w:rsidDel="00000000" w:rsidP="00000000" w:rsidRDefault="00000000" w:rsidRPr="00000000" w14:paraId="00000049">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w:t>
            </w:r>
          </w:p>
        </w:tc>
      </w:tr>
      <w:tr>
        <w:trPr>
          <w:cantSplit w:val="0"/>
          <w:tblHeader w:val="0"/>
        </w:trPr>
        <w:tc>
          <w:tcPr/>
          <w:p w:rsidR="00000000" w:rsidDel="00000000" w:rsidP="00000000" w:rsidRDefault="00000000" w:rsidRPr="00000000" w14:paraId="0000004A">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Small site windfall calculation</w:t>
            </w:r>
          </w:p>
        </w:tc>
        <w:tc>
          <w:tcPr/>
          <w:p w:rsidR="00000000" w:rsidDel="00000000" w:rsidP="00000000" w:rsidRDefault="00000000" w:rsidRPr="00000000" w14:paraId="0000004B">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138</w:t>
            </w:r>
          </w:p>
        </w:tc>
        <w:tc>
          <w:tcPr/>
          <w:p w:rsidR="00000000" w:rsidDel="00000000" w:rsidP="00000000" w:rsidRDefault="00000000" w:rsidRPr="00000000" w14:paraId="0000004C">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138</w:t>
            </w:r>
          </w:p>
        </w:tc>
        <w:tc>
          <w:tcPr/>
          <w:p w:rsidR="00000000" w:rsidDel="00000000" w:rsidP="00000000" w:rsidRDefault="00000000" w:rsidRPr="00000000" w14:paraId="0000004D">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138</w:t>
            </w:r>
          </w:p>
        </w:tc>
        <w:tc>
          <w:tcPr/>
          <w:p w:rsidR="00000000" w:rsidDel="00000000" w:rsidP="00000000" w:rsidRDefault="00000000" w:rsidRPr="00000000" w14:paraId="0000004E">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138</w:t>
            </w:r>
          </w:p>
        </w:tc>
        <w:tc>
          <w:tcPr/>
          <w:p w:rsidR="00000000" w:rsidDel="00000000" w:rsidP="00000000" w:rsidRDefault="00000000" w:rsidRPr="00000000" w14:paraId="0000004F">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138</w:t>
            </w:r>
          </w:p>
        </w:tc>
        <w:tc>
          <w:tcPr/>
          <w:p w:rsidR="00000000" w:rsidDel="00000000" w:rsidP="00000000" w:rsidRDefault="00000000" w:rsidRPr="00000000" w14:paraId="00000050">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690</w:t>
            </w:r>
          </w:p>
        </w:tc>
        <w:tc>
          <w:tcPr/>
          <w:p w:rsidR="00000000" w:rsidDel="00000000" w:rsidP="00000000" w:rsidRDefault="00000000" w:rsidRPr="00000000" w14:paraId="0000005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690</w:t>
            </w:r>
          </w:p>
        </w:tc>
        <w:tc>
          <w:tcPr/>
          <w:p w:rsidR="00000000" w:rsidDel="00000000" w:rsidP="00000000" w:rsidRDefault="00000000" w:rsidRPr="00000000" w14:paraId="00000052">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276</w:t>
            </w:r>
          </w:p>
        </w:tc>
      </w:tr>
      <w:tr>
        <w:trPr>
          <w:cantSplit w:val="0"/>
          <w:tblHeader w:val="0"/>
        </w:trPr>
        <w:tc>
          <w:tcPr/>
          <w:p w:rsidR="00000000" w:rsidDel="00000000" w:rsidP="00000000" w:rsidRDefault="00000000" w:rsidRPr="00000000" w14:paraId="0000005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Total</w:t>
            </w:r>
          </w:p>
        </w:tc>
        <w:tc>
          <w:tcPr/>
          <w:p w:rsidR="00000000" w:rsidDel="00000000" w:rsidP="00000000" w:rsidRDefault="00000000" w:rsidRPr="00000000" w14:paraId="00000054">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440</w:t>
            </w:r>
          </w:p>
        </w:tc>
        <w:tc>
          <w:tcPr/>
          <w:p w:rsidR="00000000" w:rsidDel="00000000" w:rsidP="00000000" w:rsidRDefault="00000000" w:rsidRPr="00000000" w14:paraId="00000055">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972</w:t>
            </w:r>
          </w:p>
        </w:tc>
        <w:tc>
          <w:tcPr/>
          <w:p w:rsidR="00000000" w:rsidDel="00000000" w:rsidP="00000000" w:rsidRDefault="00000000" w:rsidRPr="00000000" w14:paraId="00000056">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1093</w:t>
            </w:r>
          </w:p>
        </w:tc>
        <w:tc>
          <w:tcPr/>
          <w:p w:rsidR="00000000" w:rsidDel="00000000" w:rsidP="00000000" w:rsidRDefault="00000000" w:rsidRPr="00000000" w14:paraId="00000057">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1527</w:t>
            </w:r>
          </w:p>
        </w:tc>
        <w:tc>
          <w:tcPr/>
          <w:p w:rsidR="00000000" w:rsidDel="00000000" w:rsidP="00000000" w:rsidRDefault="00000000" w:rsidRPr="00000000" w14:paraId="00000058">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1213</w:t>
            </w:r>
          </w:p>
        </w:tc>
        <w:tc>
          <w:tcPr/>
          <w:p w:rsidR="00000000" w:rsidDel="00000000" w:rsidP="00000000" w:rsidRDefault="00000000" w:rsidRPr="00000000" w14:paraId="00000059">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3686</w:t>
            </w:r>
          </w:p>
        </w:tc>
        <w:tc>
          <w:tcPr/>
          <w:p w:rsidR="00000000" w:rsidDel="00000000" w:rsidP="00000000" w:rsidRDefault="00000000" w:rsidRPr="00000000" w14:paraId="0000005A">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3599</w:t>
            </w:r>
          </w:p>
        </w:tc>
        <w:tc>
          <w:tcPr/>
          <w:p w:rsidR="00000000" w:rsidDel="00000000" w:rsidP="00000000" w:rsidRDefault="00000000" w:rsidRPr="00000000" w14:paraId="0000005B">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2076</w:t>
            </w:r>
          </w:p>
        </w:tc>
      </w:tr>
    </w:tbl>
    <w:p w:rsidR="00000000" w:rsidDel="00000000" w:rsidP="00000000" w:rsidRDefault="00000000" w:rsidRPr="00000000" w14:paraId="0000005C">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D">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Inspector’s Question:</w:t>
      </w:r>
    </w:p>
    <w:p w:rsidR="00000000" w:rsidDel="00000000" w:rsidP="00000000" w:rsidRDefault="00000000" w:rsidRPr="00000000" w14:paraId="0000005E">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LP para 2.22 refers to a controlled delivery of new housing.  If it becomes apparent that the pace of delivery is too slow then the Council may have to adjust the phasing to allow those sites that are to be released later in the plan period to come forward earlier.  </w:t>
      </w:r>
    </w:p>
    <w:p w:rsidR="00000000" w:rsidDel="00000000" w:rsidP="00000000" w:rsidRDefault="00000000" w:rsidRPr="00000000" w14:paraId="0000005F">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National Planning Policy Framework aims to boost significantly the supply of housing.  In that context, I should be grateful if the Council could explain what it means by ‘phasing’.  Other than in the circumstances described, the implication of para 2.22 is that the Council would not ‘release’ land until the appropriate point in the plan period.  If the implication is correct then what mechanism would the Council use to hold back housing land?  Other than where this would be necessary in order for essential infrastructure to be in place first, what would be the justification for such an approach?  </w:t>
      </w:r>
    </w:p>
    <w:p w:rsidR="00000000" w:rsidDel="00000000" w:rsidP="00000000" w:rsidRDefault="00000000" w:rsidRPr="00000000" w14:paraId="00000060">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Council’s Response:</w:t>
      </w:r>
    </w:p>
    <w:p w:rsidR="00000000" w:rsidDel="00000000" w:rsidP="00000000" w:rsidRDefault="00000000" w:rsidRPr="00000000" w14:paraId="00000061">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It is not the Council’s intention to hold back land in general unless essential infrastructure required prior to its development needs to provided or be in place. In other words phasing is only related to the timing of the required infrastructure in relation to specific.</w:t>
      </w:r>
    </w:p>
    <w:p w:rsidR="00000000" w:rsidDel="00000000" w:rsidP="00000000" w:rsidRDefault="00000000" w:rsidRPr="00000000" w14:paraId="00000062">
      <w:pPr>
        <w:pageBreakBefore w:val="0"/>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63">
      <w:pPr>
        <w:pageBreakBefore w:val="0"/>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Inspector’s Question:</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Alternatives and sustainability appraisal</w:t>
      </w:r>
    </w:p>
    <w:p w:rsidR="00000000" w:rsidDel="00000000" w:rsidP="00000000" w:rsidRDefault="00000000" w:rsidRPr="00000000" w14:paraId="00000065">
      <w:pPr>
        <w:pageBreakBefore w:val="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66">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The plan should be the most appropriate strategy when considered against the reasonable alternatives and the process of Sustainability Appraisal is a crucial part of the evidence base in this regard.  The Council will be aware of the High Court judgements in</w:t>
      </w:r>
      <w:r w:rsidDel="00000000" w:rsidR="00000000" w:rsidRPr="00000000">
        <w:rPr>
          <w:rFonts w:ascii="Arial" w:cs="Arial" w:eastAsia="Arial" w:hAnsi="Arial"/>
          <w:i w:val="1"/>
          <w:color w:val="000000"/>
          <w:sz w:val="22"/>
          <w:szCs w:val="22"/>
          <w:rtl w:val="0"/>
        </w:rPr>
        <w:t xml:space="preserve"> Save Historic Newmarket Ltd v. Forest Heath District Council</w:t>
      </w:r>
      <w:r w:rsidDel="00000000" w:rsidR="00000000" w:rsidRPr="00000000">
        <w:rPr>
          <w:rFonts w:ascii="Arial" w:cs="Arial" w:eastAsia="Arial" w:hAnsi="Arial"/>
          <w:color w:val="000000"/>
          <w:sz w:val="22"/>
          <w:szCs w:val="22"/>
          <w:rtl w:val="0"/>
        </w:rPr>
        <w:t xml:space="preserve"> [2011] EWHC 606; </w:t>
      </w:r>
      <w:r w:rsidDel="00000000" w:rsidR="00000000" w:rsidRPr="00000000">
        <w:rPr>
          <w:rFonts w:ascii="Arial" w:cs="Arial" w:eastAsia="Arial" w:hAnsi="Arial"/>
          <w:i w:val="1"/>
          <w:color w:val="000000"/>
          <w:sz w:val="22"/>
          <w:szCs w:val="22"/>
          <w:rtl w:val="0"/>
        </w:rPr>
        <w:t xml:space="preserve">Heard v Broadland District Council and Others </w:t>
      </w:r>
      <w:r w:rsidDel="00000000" w:rsidR="00000000" w:rsidRPr="00000000">
        <w:rPr>
          <w:rFonts w:ascii="Arial" w:cs="Arial" w:eastAsia="Arial" w:hAnsi="Arial"/>
          <w:color w:val="000000"/>
          <w:sz w:val="22"/>
          <w:szCs w:val="22"/>
          <w:rtl w:val="0"/>
        </w:rPr>
        <w:t xml:space="preserve">[2012] EWHC 344; </w:t>
      </w:r>
      <w:r w:rsidDel="00000000" w:rsidR="00000000" w:rsidRPr="00000000">
        <w:rPr>
          <w:rFonts w:ascii="Arial" w:cs="Arial" w:eastAsia="Arial" w:hAnsi="Arial"/>
          <w:i w:val="1"/>
          <w:color w:val="000000"/>
          <w:sz w:val="22"/>
          <w:szCs w:val="22"/>
          <w:rtl w:val="0"/>
        </w:rPr>
        <w:t xml:space="preserve">Berkeley v Secretary of State for the Environment </w:t>
      </w:r>
      <w:r w:rsidDel="00000000" w:rsidR="00000000" w:rsidRPr="00000000">
        <w:rPr>
          <w:rFonts w:ascii="Arial" w:cs="Arial" w:eastAsia="Arial" w:hAnsi="Arial"/>
          <w:color w:val="000000"/>
          <w:sz w:val="22"/>
          <w:szCs w:val="22"/>
          <w:rtl w:val="0"/>
        </w:rPr>
        <w:t xml:space="preserve">[2000] UKHL 36, [2001] 2 AC 603; and </w:t>
      </w:r>
      <w:r w:rsidDel="00000000" w:rsidR="00000000" w:rsidRPr="00000000">
        <w:rPr>
          <w:rFonts w:ascii="Arial" w:cs="Arial" w:eastAsia="Arial" w:hAnsi="Arial"/>
          <w:i w:val="1"/>
          <w:color w:val="000000"/>
          <w:sz w:val="22"/>
          <w:szCs w:val="22"/>
          <w:rtl w:val="0"/>
        </w:rPr>
        <w:t xml:space="preserve">Cogent Land LLP v Rochford District Council </w:t>
      </w:r>
      <w:r w:rsidDel="00000000" w:rsidR="00000000" w:rsidRPr="00000000">
        <w:rPr>
          <w:rFonts w:ascii="Arial" w:cs="Arial" w:eastAsia="Arial" w:hAnsi="Arial"/>
          <w:color w:val="000000"/>
          <w:sz w:val="22"/>
          <w:szCs w:val="22"/>
          <w:rtl w:val="0"/>
        </w:rPr>
        <w:t xml:space="preserve">[2012] EWHC 2542, amongst others.  While I am not examining the ‘soundness' of the SA report, could you confirm whether in the Council's view it has fully complied with the requirements of the SEA Directive and associated regulations.  In particular, is the Council satisfied that the report accompanying the plan (CDLP 10.6) adequately summarises or repeats the reasons that were given for rejecting the alternatives at the time when they were ruled out (and that those reasons are still valid)? </w:t>
      </w:r>
    </w:p>
    <w:p w:rsidR="00000000" w:rsidDel="00000000" w:rsidP="00000000" w:rsidRDefault="00000000" w:rsidRPr="00000000" w14:paraId="00000067">
      <w:pPr>
        <w:pageBreakBefore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 am not seeking to suggest that there is any problem in this regard but am giving the Council the opportunity to consider whether there are any possible implications of these judgements in terms of the consideration given to alternatives to the LP scale, distribution and locations of development.  </w:t>
      </w:r>
    </w:p>
    <w:p w:rsidR="00000000" w:rsidDel="00000000" w:rsidP="00000000" w:rsidRDefault="00000000" w:rsidRPr="00000000" w14:paraId="00000068">
      <w:pPr>
        <w:pageBreakBefore w:val="0"/>
        <w:widowControl w:val="1"/>
        <w:spacing w:after="200" w:line="276"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Council’s Response:</w:t>
      </w:r>
    </w:p>
    <w:p w:rsidR="00000000" w:rsidDel="00000000" w:rsidP="00000000" w:rsidRDefault="00000000" w:rsidRPr="00000000" w14:paraId="00000069">
      <w:pPr>
        <w:pageBreakBefore w:val="0"/>
        <w:widowControl w:val="1"/>
        <w:spacing w:after="0" w:line="240" w:lineRule="auto"/>
        <w:rPr>
          <w:rFonts w:ascii="Arial" w:cs="Arial" w:eastAsia="Arial" w:hAnsi="Arial"/>
          <w:color w:val="000000"/>
          <w:sz w:val="22"/>
          <w:szCs w:val="22"/>
        </w:rPr>
        <w:sectPr>
          <w:pgSz w:h="16838" w:w="11906" w:orient="portrait"/>
          <w:pgMar w:bottom="1440" w:top="1440" w:left="1440" w:right="1440" w:header="708" w:footer="708"/>
          <w:pgNumType w:start="1"/>
        </w:sectPr>
      </w:pPr>
      <w:r w:rsidDel="00000000" w:rsidR="00000000" w:rsidRPr="00000000">
        <w:rPr>
          <w:rFonts w:ascii="Arial" w:cs="Arial" w:eastAsia="Arial" w:hAnsi="Arial"/>
          <w:color w:val="000000"/>
          <w:sz w:val="22"/>
          <w:szCs w:val="22"/>
          <w:rtl w:val="0"/>
        </w:rPr>
        <w:t xml:space="preserve">It is the City Council’s view based on independent advice that it has complied fully with the requirements of the SEA Directive and associated regulations.  Please see attached document entitled Pre-Hearing SA Technical Note which is an overview of the Sustainability Appraisal process that has been applied to the emerging Canterbury District Local Plan.</w:t>
      </w:r>
    </w:p>
    <w:p w:rsidR="00000000" w:rsidDel="00000000" w:rsidP="00000000" w:rsidRDefault="00000000" w:rsidRPr="00000000" w14:paraId="0000006A">
      <w:pPr>
        <w:pageBreakBefore w:val="0"/>
        <w:widowControl w:val="1"/>
        <w:spacing w:after="200" w:line="276" w:lineRule="auto"/>
        <w:ind w:left="1224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APPENDIX</w:t>
      </w:r>
    </w:p>
    <w:p w:rsidR="00000000" w:rsidDel="00000000" w:rsidP="00000000" w:rsidRDefault="00000000" w:rsidRPr="00000000" w14:paraId="0000006B">
      <w:pPr>
        <w:pageBreakBefore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Housing Allocations</w:t>
      </w:r>
      <w:r w:rsidDel="00000000" w:rsidR="00000000" w:rsidRPr="00000000">
        <w:rPr>
          <w:rtl w:val="0"/>
        </w:rPr>
      </w:r>
    </w:p>
    <w:p w:rsidR="00000000" w:rsidDel="00000000" w:rsidP="00000000" w:rsidRDefault="00000000" w:rsidRPr="00000000" w14:paraId="0000006C">
      <w:pPr>
        <w:pageBreakBefore w:val="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Strategic Allocations </w:t>
        <w:tab/>
        <w:t xml:space="preserve">N.B. Title of last column corrected to read 2029-31 </w:t>
      </w:r>
      <w:r w:rsidDel="00000000" w:rsidR="00000000" w:rsidRPr="00000000">
        <w:rPr>
          <w:rtl w:val="0"/>
        </w:rPr>
      </w:r>
    </w:p>
    <w:tbl>
      <w:tblPr>
        <w:tblStyle w:val="Table2"/>
        <w:tblW w:w="12930.0" w:type="dxa"/>
        <w:jc w:val="left"/>
        <w:tblInd w:w="-120.0" w:type="dxa"/>
        <w:tblLayout w:type="fixed"/>
        <w:tblLook w:val="0000"/>
      </w:tblPr>
      <w:tblGrid>
        <w:gridCol w:w="4649"/>
        <w:gridCol w:w="1701"/>
        <w:gridCol w:w="848"/>
        <w:gridCol w:w="840"/>
        <w:gridCol w:w="819"/>
        <w:gridCol w:w="840"/>
        <w:gridCol w:w="819"/>
        <w:gridCol w:w="800"/>
        <w:gridCol w:w="779"/>
        <w:gridCol w:w="835"/>
        <w:tblGridChange w:id="0">
          <w:tblGrid>
            <w:gridCol w:w="4649"/>
            <w:gridCol w:w="1701"/>
            <w:gridCol w:w="848"/>
            <w:gridCol w:w="840"/>
            <w:gridCol w:w="819"/>
            <w:gridCol w:w="840"/>
            <w:gridCol w:w="819"/>
            <w:gridCol w:w="800"/>
            <w:gridCol w:w="779"/>
            <w:gridCol w:w="835"/>
          </w:tblGrid>
        </w:tblGridChange>
      </w:tblGrid>
      <w:tr>
        <w:trPr>
          <w:cantSplit w:val="0"/>
          <w:trHeight w:val="300" w:hRule="atLeast"/>
          <w:tblHeader w:val="0"/>
        </w:trPr>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6D">
            <w:pPr>
              <w:pageBreakBefore w:val="0"/>
              <w:rPr>
                <w:rFonts w:ascii="Arial" w:cs="Arial" w:eastAsia="Arial" w:hAnsi="Arial"/>
                <w:b w:val="1"/>
              </w:rPr>
            </w:pPr>
            <w:r w:rsidDel="00000000" w:rsidR="00000000" w:rsidRPr="00000000">
              <w:rPr>
                <w:rFonts w:ascii="Arial" w:cs="Arial" w:eastAsia="Arial" w:hAnsi="Arial"/>
                <w:b w:val="1"/>
                <w:rtl w:val="0"/>
              </w:rPr>
              <w:t xml:space="preserve">Site name</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6E">
            <w:pPr>
              <w:pageBreakBefore w:val="0"/>
              <w:rPr>
                <w:rFonts w:ascii="Arial" w:cs="Arial" w:eastAsia="Arial" w:hAnsi="Arial"/>
                <w:b w:val="1"/>
              </w:rPr>
            </w:pPr>
            <w:r w:rsidDel="00000000" w:rsidR="00000000" w:rsidRPr="00000000">
              <w:rPr>
                <w:rFonts w:ascii="Arial" w:cs="Arial" w:eastAsia="Arial" w:hAnsi="Arial"/>
                <w:b w:val="1"/>
                <w:rtl w:val="0"/>
              </w:rPr>
              <w:t xml:space="preserve">No. of units</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6F">
            <w:pPr>
              <w:pageBreakBefore w:val="0"/>
              <w:rPr>
                <w:rFonts w:ascii="Arial" w:cs="Arial" w:eastAsia="Arial" w:hAnsi="Arial"/>
                <w:b w:val="1"/>
              </w:rPr>
            </w:pPr>
            <w:r w:rsidDel="00000000" w:rsidR="00000000" w:rsidRPr="00000000">
              <w:rPr>
                <w:rFonts w:ascii="Arial" w:cs="Arial" w:eastAsia="Arial" w:hAnsi="Arial"/>
                <w:b w:val="1"/>
                <w:rtl w:val="0"/>
              </w:rPr>
              <w:t xml:space="preserve">2014-15</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70">
            <w:pPr>
              <w:pageBreakBefore w:val="0"/>
              <w:rPr>
                <w:rFonts w:ascii="Arial" w:cs="Arial" w:eastAsia="Arial" w:hAnsi="Arial"/>
                <w:b w:val="1"/>
              </w:rPr>
            </w:pPr>
            <w:r w:rsidDel="00000000" w:rsidR="00000000" w:rsidRPr="00000000">
              <w:rPr>
                <w:rFonts w:ascii="Arial" w:cs="Arial" w:eastAsia="Arial" w:hAnsi="Arial"/>
                <w:b w:val="1"/>
                <w:rtl w:val="0"/>
              </w:rPr>
              <w:t xml:space="preserve">2015-16</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71">
            <w:pPr>
              <w:pageBreakBefore w:val="0"/>
              <w:rPr>
                <w:rFonts w:ascii="Arial" w:cs="Arial" w:eastAsia="Arial" w:hAnsi="Arial"/>
                <w:b w:val="1"/>
              </w:rPr>
            </w:pPr>
            <w:r w:rsidDel="00000000" w:rsidR="00000000" w:rsidRPr="00000000">
              <w:rPr>
                <w:rFonts w:ascii="Arial" w:cs="Arial" w:eastAsia="Arial" w:hAnsi="Arial"/>
                <w:b w:val="1"/>
                <w:rtl w:val="0"/>
              </w:rPr>
              <w:t xml:space="preserve">2016-17</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72">
            <w:pPr>
              <w:pageBreakBefore w:val="0"/>
              <w:rPr>
                <w:rFonts w:ascii="Arial" w:cs="Arial" w:eastAsia="Arial" w:hAnsi="Arial"/>
                <w:b w:val="1"/>
              </w:rPr>
            </w:pPr>
            <w:r w:rsidDel="00000000" w:rsidR="00000000" w:rsidRPr="00000000">
              <w:rPr>
                <w:rFonts w:ascii="Arial" w:cs="Arial" w:eastAsia="Arial" w:hAnsi="Arial"/>
                <w:b w:val="1"/>
                <w:rtl w:val="0"/>
              </w:rPr>
              <w:t xml:space="preserve">2017-18</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73">
            <w:pPr>
              <w:pageBreakBefore w:val="0"/>
              <w:rPr>
                <w:rFonts w:ascii="Arial" w:cs="Arial" w:eastAsia="Arial" w:hAnsi="Arial"/>
                <w:b w:val="1"/>
              </w:rPr>
            </w:pPr>
            <w:r w:rsidDel="00000000" w:rsidR="00000000" w:rsidRPr="00000000">
              <w:rPr>
                <w:rFonts w:ascii="Arial" w:cs="Arial" w:eastAsia="Arial" w:hAnsi="Arial"/>
                <w:b w:val="1"/>
                <w:rtl w:val="0"/>
              </w:rPr>
              <w:t xml:space="preserve">2018-19</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74">
            <w:pPr>
              <w:pageBreakBefore w:val="0"/>
              <w:rPr>
                <w:rFonts w:ascii="Arial" w:cs="Arial" w:eastAsia="Arial" w:hAnsi="Arial"/>
                <w:b w:val="1"/>
              </w:rPr>
            </w:pPr>
            <w:r w:rsidDel="00000000" w:rsidR="00000000" w:rsidRPr="00000000">
              <w:rPr>
                <w:rFonts w:ascii="Arial" w:cs="Arial" w:eastAsia="Arial" w:hAnsi="Arial"/>
                <w:b w:val="1"/>
                <w:rtl w:val="0"/>
              </w:rPr>
              <w:t xml:space="preserve">2019-24</w:t>
            </w:r>
          </w:p>
        </w:tc>
        <w:tc>
          <w:tcPr>
            <w:tcBorders>
              <w:top w:color="000000" w:space="0" w:sz="4" w:val="single"/>
              <w:left w:color="000000" w:space="0" w:sz="4" w:val="single"/>
              <w:bottom w:color="000000" w:space="0" w:sz="4" w:val="single"/>
            </w:tcBorders>
            <w:shd w:fill="bfbfbf" w:val="clear"/>
            <w:vAlign w:val="bottom"/>
          </w:tcPr>
          <w:p w:rsidR="00000000" w:rsidDel="00000000" w:rsidP="00000000" w:rsidRDefault="00000000" w:rsidRPr="00000000" w14:paraId="00000075">
            <w:pPr>
              <w:pageBreakBefore w:val="0"/>
              <w:rPr>
                <w:rFonts w:ascii="Arial" w:cs="Arial" w:eastAsia="Arial" w:hAnsi="Arial"/>
                <w:b w:val="1"/>
              </w:rPr>
            </w:pPr>
            <w:r w:rsidDel="00000000" w:rsidR="00000000" w:rsidRPr="00000000">
              <w:rPr>
                <w:rFonts w:ascii="Arial" w:cs="Arial" w:eastAsia="Arial" w:hAnsi="Arial"/>
                <w:b w:val="1"/>
                <w:rtl w:val="0"/>
              </w:rPr>
              <w:t xml:space="preserve">2024-29</w:t>
            </w:r>
          </w:p>
        </w:tc>
        <w:tc>
          <w:tcPr>
            <w:tcBorders>
              <w:top w:color="000000" w:space="0" w:sz="4" w:val="single"/>
              <w:left w:color="000000" w:space="0" w:sz="4" w:val="single"/>
              <w:bottom w:color="000000" w:space="0" w:sz="4" w:val="single"/>
              <w:right w:color="000000" w:space="0" w:sz="4" w:val="single"/>
            </w:tcBorders>
            <w:shd w:fill="bfbfbf" w:val="clear"/>
            <w:vAlign w:val="bottom"/>
          </w:tcPr>
          <w:p w:rsidR="00000000" w:rsidDel="00000000" w:rsidP="00000000" w:rsidRDefault="00000000" w:rsidRPr="00000000" w14:paraId="00000076">
            <w:pPr>
              <w:pageBreakBefore w:val="0"/>
              <w:rPr>
                <w:rFonts w:ascii="Arial" w:cs="Arial" w:eastAsia="Arial" w:hAnsi="Arial"/>
              </w:rPr>
            </w:pPr>
            <w:r w:rsidDel="00000000" w:rsidR="00000000" w:rsidRPr="00000000">
              <w:rPr>
                <w:rFonts w:ascii="Arial" w:cs="Arial" w:eastAsia="Arial" w:hAnsi="Arial"/>
                <w:b w:val="1"/>
                <w:rtl w:val="0"/>
              </w:rPr>
              <w:t xml:space="preserve">2029-31</w:t>
            </w:r>
            <w:r w:rsidDel="00000000" w:rsidR="00000000" w:rsidRPr="00000000">
              <w:rPr>
                <w:rtl w:val="0"/>
              </w:rPr>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77">
            <w:pPr>
              <w:pageBreakBefore w:val="0"/>
              <w:rPr>
                <w:rFonts w:ascii="Arial" w:cs="Arial" w:eastAsia="Arial" w:hAnsi="Arial"/>
              </w:rPr>
            </w:pPr>
            <w:r w:rsidDel="00000000" w:rsidR="00000000" w:rsidRPr="00000000">
              <w:rPr>
                <w:rFonts w:ascii="Arial" w:cs="Arial" w:eastAsia="Arial" w:hAnsi="Arial"/>
                <w:rtl w:val="0"/>
              </w:rPr>
              <w:t xml:space="preserve">Site 1 Land at South Canterbury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8">
            <w:pPr>
              <w:pageBreakBefore w:val="0"/>
              <w:jc w:val="right"/>
              <w:rPr>
                <w:rFonts w:ascii="Arial" w:cs="Arial" w:eastAsia="Arial" w:hAnsi="Arial"/>
              </w:rPr>
            </w:pPr>
            <w:r w:rsidDel="00000000" w:rsidR="00000000" w:rsidRPr="00000000">
              <w:rPr>
                <w:rFonts w:ascii="Arial" w:cs="Arial" w:eastAsia="Arial" w:hAnsi="Arial"/>
                <w:rtl w:val="0"/>
              </w:rPr>
              <w:t xml:space="preserve">4000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9">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A">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B">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C">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D">
            <w:pPr>
              <w:pageBreakBefore w:val="0"/>
              <w:jc w:val="right"/>
              <w:rPr>
                <w:rFonts w:ascii="Arial" w:cs="Arial" w:eastAsia="Arial" w:hAnsi="Arial"/>
              </w:rPr>
            </w:pPr>
            <w:r w:rsidDel="00000000" w:rsidR="00000000" w:rsidRPr="00000000">
              <w:rPr>
                <w:rFonts w:ascii="Arial" w:cs="Arial" w:eastAsia="Arial" w:hAnsi="Arial"/>
                <w:rtl w:val="0"/>
              </w:rPr>
              <w:t xml:space="preserve">240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E">
            <w:pPr>
              <w:pageBreakBefore w:val="0"/>
              <w:jc w:val="right"/>
              <w:rPr>
                <w:rFonts w:ascii="Arial" w:cs="Arial" w:eastAsia="Arial" w:hAnsi="Arial"/>
              </w:rPr>
            </w:pPr>
            <w:r w:rsidDel="00000000" w:rsidR="00000000" w:rsidRPr="00000000">
              <w:rPr>
                <w:rFonts w:ascii="Arial" w:cs="Arial" w:eastAsia="Arial" w:hAnsi="Arial"/>
                <w:rtl w:val="0"/>
              </w:rPr>
              <w:t xml:space="preserve">960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7F">
            <w:pPr>
              <w:pageBreakBefore w:val="0"/>
              <w:jc w:val="right"/>
              <w:rPr>
                <w:rFonts w:ascii="Arial" w:cs="Arial" w:eastAsia="Arial" w:hAnsi="Arial"/>
              </w:rPr>
            </w:pPr>
            <w:r w:rsidDel="00000000" w:rsidR="00000000" w:rsidRPr="00000000">
              <w:rPr>
                <w:rFonts w:ascii="Arial" w:cs="Arial" w:eastAsia="Arial" w:hAnsi="Arial"/>
                <w:rtl w:val="0"/>
              </w:rPr>
              <w:t xml:space="preserve">1200</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0">
            <w:pPr>
              <w:pageBreakBefore w:val="0"/>
              <w:jc w:val="right"/>
              <w:rPr>
                <w:rFonts w:ascii="Arial" w:cs="Arial" w:eastAsia="Arial" w:hAnsi="Arial"/>
              </w:rPr>
            </w:pPr>
            <w:r w:rsidDel="00000000" w:rsidR="00000000" w:rsidRPr="00000000">
              <w:rPr>
                <w:rFonts w:ascii="Arial" w:cs="Arial" w:eastAsia="Arial" w:hAnsi="Arial"/>
                <w:rtl w:val="0"/>
              </w:rPr>
              <w:t xml:space="preserve">1200</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81">
            <w:pPr>
              <w:pageBreakBefore w:val="0"/>
              <w:rPr>
                <w:rFonts w:ascii="Arial" w:cs="Arial" w:eastAsia="Arial" w:hAnsi="Arial"/>
              </w:rPr>
            </w:pPr>
            <w:r w:rsidDel="00000000" w:rsidR="00000000" w:rsidRPr="00000000">
              <w:rPr>
                <w:rFonts w:ascii="Arial" w:cs="Arial" w:eastAsia="Arial" w:hAnsi="Arial"/>
                <w:rtl w:val="0"/>
              </w:rPr>
              <w:t xml:space="preserve">Site 2 Land At Sturry/Broad Oak</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2">
            <w:pPr>
              <w:pageBreakBefore w:val="0"/>
              <w:jc w:val="right"/>
              <w:rPr>
                <w:rFonts w:ascii="Arial" w:cs="Arial" w:eastAsia="Arial" w:hAnsi="Arial"/>
              </w:rPr>
            </w:pPr>
            <w:r w:rsidDel="00000000" w:rsidR="00000000" w:rsidRPr="00000000">
              <w:rPr>
                <w:rFonts w:ascii="Arial" w:cs="Arial" w:eastAsia="Arial" w:hAnsi="Arial"/>
                <w:rtl w:val="0"/>
              </w:rPr>
              <w:t xml:space="preserve">1000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3">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4">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5">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6">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7">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8">
            <w:pPr>
              <w:pageBreakBefore w:val="0"/>
              <w:jc w:val="right"/>
              <w:rPr>
                <w:rFonts w:ascii="Arial" w:cs="Arial" w:eastAsia="Arial" w:hAnsi="Arial"/>
              </w:rPr>
            </w:pPr>
            <w:r w:rsidDel="00000000" w:rsidR="00000000" w:rsidRPr="00000000">
              <w:rPr>
                <w:rFonts w:ascii="Arial" w:cs="Arial" w:eastAsia="Arial" w:hAnsi="Arial"/>
                <w:rtl w:val="0"/>
              </w:rPr>
              <w:t xml:space="preserve">375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9">
            <w:pPr>
              <w:pageBreakBefore w:val="0"/>
              <w:jc w:val="right"/>
              <w:rPr>
                <w:rFonts w:ascii="Arial" w:cs="Arial" w:eastAsia="Arial" w:hAnsi="Arial"/>
              </w:rPr>
            </w:pPr>
            <w:r w:rsidDel="00000000" w:rsidR="00000000" w:rsidRPr="00000000">
              <w:rPr>
                <w:rFonts w:ascii="Arial" w:cs="Arial" w:eastAsia="Arial" w:hAnsi="Arial"/>
                <w:rtl w:val="0"/>
              </w:rPr>
              <w:t xml:space="preserve">375</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8A">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8B">
            <w:pPr>
              <w:pageBreakBefore w:val="0"/>
              <w:rPr>
                <w:rFonts w:ascii="Arial" w:cs="Arial" w:eastAsia="Arial" w:hAnsi="Arial"/>
              </w:rPr>
            </w:pPr>
            <w:r w:rsidDel="00000000" w:rsidR="00000000" w:rsidRPr="00000000">
              <w:rPr>
                <w:rFonts w:ascii="Arial" w:cs="Arial" w:eastAsia="Arial" w:hAnsi="Arial"/>
                <w:rtl w:val="0"/>
              </w:rPr>
              <w:t xml:space="preserve">Site 3 Land at Hillborough, Herne Bay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C">
            <w:pPr>
              <w:pageBreakBefore w:val="0"/>
              <w:jc w:val="right"/>
              <w:rPr>
                <w:rFonts w:ascii="Arial" w:cs="Arial" w:eastAsia="Arial" w:hAnsi="Arial"/>
              </w:rPr>
            </w:pPr>
            <w:r w:rsidDel="00000000" w:rsidR="00000000" w:rsidRPr="00000000">
              <w:rPr>
                <w:rFonts w:ascii="Arial" w:cs="Arial" w:eastAsia="Arial" w:hAnsi="Arial"/>
                <w:rtl w:val="0"/>
              </w:rPr>
              <w:t xml:space="preserve">1300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D">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E">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8F">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0">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1">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2">
            <w:pPr>
              <w:pageBreakBefore w:val="0"/>
              <w:jc w:val="right"/>
              <w:rPr>
                <w:rFonts w:ascii="Arial" w:cs="Arial" w:eastAsia="Arial" w:hAnsi="Arial"/>
              </w:rPr>
            </w:pPr>
            <w:r w:rsidDel="00000000" w:rsidR="00000000" w:rsidRPr="00000000">
              <w:rPr>
                <w:rFonts w:ascii="Arial" w:cs="Arial" w:eastAsia="Arial" w:hAnsi="Arial"/>
                <w:rtl w:val="0"/>
              </w:rPr>
              <w:t xml:space="preserve">350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3">
            <w:pPr>
              <w:pageBreakBefore w:val="0"/>
              <w:jc w:val="right"/>
              <w:rPr>
                <w:rFonts w:ascii="Arial" w:cs="Arial" w:eastAsia="Arial" w:hAnsi="Arial"/>
              </w:rPr>
            </w:pPr>
            <w:r w:rsidDel="00000000" w:rsidR="00000000" w:rsidRPr="00000000">
              <w:rPr>
                <w:rFonts w:ascii="Arial" w:cs="Arial" w:eastAsia="Arial" w:hAnsi="Arial"/>
                <w:rtl w:val="0"/>
              </w:rPr>
              <w:t xml:space="preserve">350</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4">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95">
            <w:pPr>
              <w:pageBreakBefore w:val="0"/>
              <w:rPr>
                <w:rFonts w:ascii="Arial" w:cs="Arial" w:eastAsia="Arial" w:hAnsi="Arial"/>
              </w:rPr>
            </w:pPr>
            <w:r w:rsidDel="00000000" w:rsidR="00000000" w:rsidRPr="00000000">
              <w:rPr>
                <w:rFonts w:ascii="Arial" w:cs="Arial" w:eastAsia="Arial" w:hAnsi="Arial"/>
                <w:rtl w:val="0"/>
              </w:rPr>
              <w:t xml:space="preserve">Site 4 Land at Herne Bay Golf Course, Herne Bay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6">
            <w:pPr>
              <w:pageBreakBefore w:val="0"/>
              <w:jc w:val="right"/>
              <w:rPr>
                <w:rFonts w:ascii="Arial" w:cs="Arial" w:eastAsia="Arial" w:hAnsi="Arial"/>
              </w:rPr>
            </w:pPr>
            <w:r w:rsidDel="00000000" w:rsidR="00000000" w:rsidRPr="00000000">
              <w:rPr>
                <w:rFonts w:ascii="Arial" w:cs="Arial" w:eastAsia="Arial" w:hAnsi="Arial"/>
                <w:rtl w:val="0"/>
              </w:rPr>
              <w:t xml:space="preserve">600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7">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8">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9">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A">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B">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C">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9D">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9E">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9F">
            <w:pPr>
              <w:pageBreakBefore w:val="0"/>
              <w:rPr>
                <w:rFonts w:ascii="Arial" w:cs="Arial" w:eastAsia="Arial" w:hAnsi="Arial"/>
              </w:rPr>
            </w:pPr>
            <w:r w:rsidDel="00000000" w:rsidR="00000000" w:rsidRPr="00000000">
              <w:rPr>
                <w:rFonts w:ascii="Arial" w:cs="Arial" w:eastAsia="Arial" w:hAnsi="Arial"/>
                <w:rtl w:val="0"/>
              </w:rPr>
              <w:t xml:space="preserve">Site 5 Land at Strode Farm, Herne Bay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0">
            <w:pPr>
              <w:pageBreakBefore w:val="0"/>
              <w:jc w:val="right"/>
              <w:rPr>
                <w:rFonts w:ascii="Arial" w:cs="Arial" w:eastAsia="Arial" w:hAnsi="Arial"/>
              </w:rPr>
            </w:pPr>
            <w:r w:rsidDel="00000000" w:rsidR="00000000" w:rsidRPr="00000000">
              <w:rPr>
                <w:rFonts w:ascii="Arial" w:cs="Arial" w:eastAsia="Arial" w:hAnsi="Arial"/>
                <w:rtl w:val="0"/>
              </w:rPr>
              <w:t xml:space="preserve">800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1">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2">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3">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4">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5">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6">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7">
            <w:pPr>
              <w:pageBreakBefore w:val="0"/>
              <w:jc w:val="right"/>
              <w:rPr>
                <w:rFonts w:ascii="Arial" w:cs="Arial" w:eastAsia="Arial" w:hAnsi="Arial"/>
              </w:rPr>
            </w:pPr>
            <w:r w:rsidDel="00000000" w:rsidR="00000000" w:rsidRPr="00000000">
              <w:rPr>
                <w:rFonts w:ascii="Arial" w:cs="Arial" w:eastAsia="Arial" w:hAnsi="Arial"/>
                <w:rtl w:val="0"/>
              </w:rPr>
              <w:t xml:space="preserve">250</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A8">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A9">
            <w:pPr>
              <w:pageBreakBefore w:val="0"/>
              <w:rPr>
                <w:rFonts w:ascii="Arial" w:cs="Arial" w:eastAsia="Arial" w:hAnsi="Arial"/>
              </w:rPr>
            </w:pPr>
            <w:r w:rsidDel="00000000" w:rsidR="00000000" w:rsidRPr="00000000">
              <w:rPr>
                <w:rFonts w:ascii="Arial" w:cs="Arial" w:eastAsia="Arial" w:hAnsi="Arial"/>
                <w:rtl w:val="0"/>
              </w:rPr>
              <w:t xml:space="preserve">Site 6 Land at Greenhill, Herne Bay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A">
            <w:pPr>
              <w:pageBreakBefore w:val="0"/>
              <w:jc w:val="right"/>
              <w:rPr>
                <w:rFonts w:ascii="Arial" w:cs="Arial" w:eastAsia="Arial" w:hAnsi="Arial"/>
              </w:rPr>
            </w:pPr>
            <w:r w:rsidDel="00000000" w:rsidR="00000000" w:rsidRPr="00000000">
              <w:rPr>
                <w:rFonts w:ascii="Arial" w:cs="Arial" w:eastAsia="Arial" w:hAnsi="Arial"/>
                <w:rtl w:val="0"/>
              </w:rPr>
              <w:t xml:space="preserve"> 300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B">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C">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D">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E">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AF">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0">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1">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B2">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B3">
            <w:pPr>
              <w:pageBreakBefore w:val="0"/>
              <w:rPr>
                <w:rFonts w:ascii="Arial" w:cs="Arial" w:eastAsia="Arial" w:hAnsi="Arial"/>
              </w:rPr>
            </w:pPr>
            <w:r w:rsidDel="00000000" w:rsidR="00000000" w:rsidRPr="00000000">
              <w:rPr>
                <w:rFonts w:ascii="Arial" w:cs="Arial" w:eastAsia="Arial" w:hAnsi="Arial"/>
                <w:rtl w:val="0"/>
              </w:rPr>
              <w:t xml:space="preserve">Site 7 North of Thanet Way, Whitstable</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4">
            <w:pPr>
              <w:pageBreakBefore w:val="0"/>
              <w:jc w:val="right"/>
              <w:rPr>
                <w:rFonts w:ascii="Arial" w:cs="Arial" w:eastAsia="Arial" w:hAnsi="Arial"/>
              </w:rPr>
            </w:pPr>
            <w:r w:rsidDel="00000000" w:rsidR="00000000" w:rsidRPr="00000000">
              <w:rPr>
                <w:rFonts w:ascii="Arial" w:cs="Arial" w:eastAsia="Arial" w:hAnsi="Arial"/>
                <w:rtl w:val="0"/>
              </w:rPr>
              <w:t xml:space="preserve">400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5">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6">
            <w:pPr>
              <w:pageBreakBefore w:val="0"/>
              <w:jc w:val="right"/>
              <w:rPr>
                <w:rFonts w:ascii="Arial" w:cs="Arial" w:eastAsia="Arial" w:hAnsi="Arial"/>
              </w:rPr>
            </w:pPr>
            <w:r w:rsidDel="00000000" w:rsidR="00000000" w:rsidRPr="00000000">
              <w:rPr>
                <w:rFonts w:ascii="Arial" w:cs="Arial" w:eastAsia="Arial" w:hAnsi="Arial"/>
                <w:rtl w:val="0"/>
              </w:rPr>
              <w:t xml:space="preserve">65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7">
            <w:pPr>
              <w:pageBreakBefore w:val="0"/>
              <w:jc w:val="right"/>
              <w:rPr>
                <w:rFonts w:ascii="Arial" w:cs="Arial" w:eastAsia="Arial" w:hAnsi="Arial"/>
              </w:rPr>
            </w:pPr>
            <w:r w:rsidDel="00000000" w:rsidR="00000000" w:rsidRPr="00000000">
              <w:rPr>
                <w:rFonts w:ascii="Arial" w:cs="Arial" w:eastAsia="Arial" w:hAnsi="Arial"/>
                <w:rtl w:val="0"/>
              </w:rPr>
              <w:t xml:space="preserve">65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8">
            <w:pPr>
              <w:pageBreakBefore w:val="0"/>
              <w:jc w:val="right"/>
              <w:rPr>
                <w:rFonts w:ascii="Arial" w:cs="Arial" w:eastAsia="Arial" w:hAnsi="Arial"/>
              </w:rPr>
            </w:pPr>
            <w:r w:rsidDel="00000000" w:rsidR="00000000" w:rsidRPr="00000000">
              <w:rPr>
                <w:rFonts w:ascii="Arial" w:cs="Arial" w:eastAsia="Arial" w:hAnsi="Arial"/>
                <w:rtl w:val="0"/>
              </w:rPr>
              <w:t xml:space="preserve">65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9">
            <w:pPr>
              <w:pageBreakBefore w:val="0"/>
              <w:jc w:val="right"/>
              <w:rPr>
                <w:rFonts w:ascii="Arial" w:cs="Arial" w:eastAsia="Arial" w:hAnsi="Arial"/>
              </w:rPr>
            </w:pPr>
            <w:r w:rsidDel="00000000" w:rsidR="00000000" w:rsidRPr="00000000">
              <w:rPr>
                <w:rFonts w:ascii="Arial" w:cs="Arial" w:eastAsia="Arial" w:hAnsi="Arial"/>
                <w:rtl w:val="0"/>
              </w:rPr>
              <w:t xml:space="preserve">65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A">
            <w:pPr>
              <w:pageBreakBefore w:val="0"/>
              <w:jc w:val="right"/>
              <w:rPr>
                <w:rFonts w:ascii="Arial" w:cs="Arial" w:eastAsia="Arial" w:hAnsi="Arial"/>
              </w:rPr>
            </w:pPr>
            <w:r w:rsidDel="00000000" w:rsidR="00000000" w:rsidRPr="00000000">
              <w:rPr>
                <w:rFonts w:ascii="Arial" w:cs="Arial" w:eastAsia="Arial" w:hAnsi="Arial"/>
                <w:rtl w:val="0"/>
              </w:rPr>
              <w:t xml:space="preserve">140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B">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BC">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BD">
            <w:pPr>
              <w:pageBreakBefore w:val="0"/>
              <w:rPr>
                <w:rFonts w:ascii="Arial" w:cs="Arial" w:eastAsia="Arial" w:hAnsi="Arial"/>
              </w:rPr>
            </w:pPr>
            <w:r w:rsidDel="00000000" w:rsidR="00000000" w:rsidRPr="00000000">
              <w:rPr>
                <w:rFonts w:ascii="Arial" w:cs="Arial" w:eastAsia="Arial" w:hAnsi="Arial"/>
                <w:rtl w:val="0"/>
              </w:rPr>
              <w:t xml:space="preserve">Site 8 Land North of Hersden</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E">
            <w:pPr>
              <w:pageBreakBefore w:val="0"/>
              <w:jc w:val="right"/>
              <w:rPr>
                <w:rFonts w:ascii="Arial" w:cs="Arial" w:eastAsia="Arial" w:hAnsi="Arial"/>
              </w:rPr>
            </w:pPr>
            <w:r w:rsidDel="00000000" w:rsidR="00000000" w:rsidRPr="00000000">
              <w:rPr>
                <w:rFonts w:ascii="Arial" w:cs="Arial" w:eastAsia="Arial" w:hAnsi="Arial"/>
                <w:rtl w:val="0"/>
              </w:rPr>
              <w:t xml:space="preserve">500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BF">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0">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1">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2">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3">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4">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5">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C6">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C7">
            <w:pPr>
              <w:pageBreakBefore w:val="0"/>
              <w:rPr>
                <w:rFonts w:ascii="Arial" w:cs="Arial" w:eastAsia="Arial" w:hAnsi="Arial"/>
              </w:rPr>
            </w:pPr>
            <w:r w:rsidDel="00000000" w:rsidR="00000000" w:rsidRPr="00000000">
              <w:rPr>
                <w:rFonts w:ascii="Arial" w:cs="Arial" w:eastAsia="Arial" w:hAnsi="Arial"/>
                <w:rtl w:val="0"/>
              </w:rPr>
              <w:t xml:space="preserve">Site 9 Land at Howe Barracks, Canterbury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8">
            <w:pPr>
              <w:pageBreakBefore w:val="0"/>
              <w:jc w:val="right"/>
              <w:rPr>
                <w:rFonts w:ascii="Arial" w:cs="Arial" w:eastAsia="Arial" w:hAnsi="Arial"/>
              </w:rPr>
            </w:pPr>
            <w:r w:rsidDel="00000000" w:rsidR="00000000" w:rsidRPr="00000000">
              <w:rPr>
                <w:rFonts w:ascii="Arial" w:cs="Arial" w:eastAsia="Arial" w:hAnsi="Arial"/>
                <w:rtl w:val="0"/>
              </w:rPr>
              <w:t xml:space="preserve">400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9">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A">
            <w:pPr>
              <w:pageBreakBefore w:val="0"/>
              <w:jc w:val="right"/>
              <w:rPr>
                <w:rFonts w:ascii="Arial" w:cs="Arial" w:eastAsia="Arial" w:hAnsi="Arial"/>
              </w:rPr>
            </w:pPr>
            <w:r w:rsidDel="00000000" w:rsidR="00000000" w:rsidRPr="00000000">
              <w:rPr>
                <w:rFonts w:ascii="Arial" w:cs="Arial" w:eastAsia="Arial" w:hAnsi="Arial"/>
                <w:rtl w:val="0"/>
              </w:rPr>
              <w:t xml:space="preserve">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B">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C">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D">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E">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CF">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0">
            <w:pPr>
              <w:pageBreakBefore w:val="0"/>
              <w:rPr>
                <w:rFonts w:ascii="Arial" w:cs="Arial" w:eastAsia="Arial" w:hAnsi="Arial"/>
              </w:rPr>
            </w:pPr>
            <w:r w:rsidDel="00000000" w:rsidR="00000000" w:rsidRPr="00000000">
              <w:rPr>
                <w:rFonts w:ascii="Arial" w:cs="Arial" w:eastAsia="Arial" w:hAnsi="Arial"/>
                <w:rtl w:val="0"/>
              </w:rPr>
              <w:t xml:space="preserve">N/A</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D1">
            <w:pPr>
              <w:pageBreakBefore w:val="0"/>
              <w:rPr>
                <w:rFonts w:ascii="Arial" w:cs="Arial" w:eastAsia="Arial" w:hAnsi="Arial"/>
              </w:rPr>
            </w:pPr>
            <w:r w:rsidDel="00000000" w:rsidR="00000000" w:rsidRPr="00000000">
              <w:rPr>
                <w:rFonts w:ascii="Arial" w:cs="Arial" w:eastAsia="Arial" w:hAnsi="Arial"/>
                <w:rtl w:val="0"/>
              </w:rPr>
              <w:t xml:space="preserve">Site 10 Land at Ridlands Farm / Hospital site, Canterbury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2">
            <w:pPr>
              <w:pageBreakBefore w:val="0"/>
              <w:jc w:val="right"/>
              <w:rPr>
                <w:rFonts w:ascii="Arial" w:cs="Arial" w:eastAsia="Arial" w:hAnsi="Arial"/>
              </w:rPr>
            </w:pPr>
            <w:r w:rsidDel="00000000" w:rsidR="00000000" w:rsidRPr="00000000">
              <w:rPr>
                <w:rFonts w:ascii="Arial" w:cs="Arial" w:eastAsia="Arial" w:hAnsi="Arial"/>
                <w:rtl w:val="0"/>
              </w:rPr>
              <w:t xml:space="preserve">810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3">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4">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5">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6">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7">
            <w:pPr>
              <w:pageBreakBefore w:val="0"/>
              <w:jc w:val="right"/>
              <w:rPr>
                <w:rFonts w:ascii="Arial" w:cs="Arial" w:eastAsia="Arial" w:hAnsi="Arial"/>
              </w:rPr>
            </w:pPr>
            <w:r w:rsidDel="00000000" w:rsidR="00000000" w:rsidRPr="00000000">
              <w:rPr>
                <w:rFonts w:ascii="Arial" w:cs="Arial" w:eastAsia="Arial" w:hAnsi="Arial"/>
                <w:rtl w:val="0"/>
              </w:rPr>
              <w:t xml:space="preserve">100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8">
            <w:pPr>
              <w:pageBreakBefore w:val="0"/>
              <w:jc w:val="right"/>
              <w:rPr>
                <w:rFonts w:ascii="Arial" w:cs="Arial" w:eastAsia="Arial" w:hAnsi="Arial"/>
              </w:rPr>
            </w:pPr>
            <w:r w:rsidDel="00000000" w:rsidR="00000000" w:rsidRPr="00000000">
              <w:rPr>
                <w:rFonts w:ascii="Arial" w:cs="Arial" w:eastAsia="Arial" w:hAnsi="Arial"/>
                <w:rtl w:val="0"/>
              </w:rPr>
              <w:t xml:space="preserve">160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9">
            <w:pPr>
              <w:pageBreakBefore w:val="0"/>
              <w:jc w:val="right"/>
              <w:rPr>
                <w:rFonts w:ascii="Arial" w:cs="Arial" w:eastAsia="Arial" w:hAnsi="Arial"/>
              </w:rPr>
            </w:pPr>
            <w:r w:rsidDel="00000000" w:rsidR="00000000" w:rsidRPr="00000000">
              <w:rPr>
                <w:rFonts w:ascii="Arial" w:cs="Arial" w:eastAsia="Arial" w:hAnsi="Arial"/>
                <w:rtl w:val="0"/>
              </w:rPr>
              <w:t xml:space="preserve">300</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DA">
            <w:pPr>
              <w:pageBreakBefore w:val="0"/>
              <w:jc w:val="right"/>
              <w:rPr>
                <w:rFonts w:ascii="Arial" w:cs="Arial" w:eastAsia="Arial" w:hAnsi="Arial"/>
              </w:rPr>
            </w:pPr>
            <w:r w:rsidDel="00000000" w:rsidR="00000000" w:rsidRPr="00000000">
              <w:rPr>
                <w:rFonts w:ascii="Arial" w:cs="Arial" w:eastAsia="Arial" w:hAnsi="Arial"/>
                <w:rtl w:val="0"/>
              </w:rPr>
              <w:t xml:space="preserve">150</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DB">
            <w:pPr>
              <w:pageBreakBefore w:val="0"/>
              <w:rPr>
                <w:rFonts w:ascii="Arial" w:cs="Arial" w:eastAsia="Arial" w:hAnsi="Arial"/>
              </w:rPr>
            </w:pPr>
            <w:r w:rsidDel="00000000" w:rsidR="00000000" w:rsidRPr="00000000">
              <w:rPr>
                <w:rFonts w:ascii="Arial" w:cs="Arial" w:eastAsia="Arial" w:hAnsi="Arial"/>
                <w:rtl w:val="0"/>
              </w:rPr>
              <w:t xml:space="preserve">St Martin's Hospital , Canterbury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C">
            <w:pPr>
              <w:pageBreakBefore w:val="0"/>
              <w:jc w:val="right"/>
              <w:rPr>
                <w:rFonts w:ascii="Arial" w:cs="Arial" w:eastAsia="Arial" w:hAnsi="Arial"/>
              </w:rPr>
            </w:pPr>
            <w:r w:rsidDel="00000000" w:rsidR="00000000" w:rsidRPr="00000000">
              <w:rPr>
                <w:rFonts w:ascii="Arial" w:cs="Arial" w:eastAsia="Arial" w:hAnsi="Arial"/>
                <w:rtl w:val="0"/>
              </w:rPr>
              <w:t xml:space="preserve">200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D">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E">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DF">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0">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1">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2">
            <w:pPr>
              <w:pageBreakBefore w:val="0"/>
              <w:jc w:val="right"/>
              <w:rPr>
                <w:rFonts w:ascii="Arial" w:cs="Arial" w:eastAsia="Arial" w:hAnsi="Arial"/>
              </w:rPr>
            </w:pPr>
            <w:r w:rsidDel="00000000" w:rsidR="00000000" w:rsidRPr="00000000">
              <w:rPr>
                <w:rFonts w:ascii="Arial" w:cs="Arial" w:eastAsia="Arial" w:hAnsi="Arial"/>
                <w:rtl w:val="0"/>
              </w:rPr>
              <w:t xml:space="preserve">80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3">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4">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E5">
            <w:pPr>
              <w:pageBreakBefore w:val="0"/>
              <w:rPr>
                <w:rFonts w:ascii="Arial" w:cs="Arial" w:eastAsia="Arial" w:hAnsi="Arial"/>
              </w:rPr>
            </w:pPr>
            <w:r w:rsidDel="00000000" w:rsidR="00000000" w:rsidRPr="00000000">
              <w:rPr>
                <w:rFonts w:ascii="Arial" w:cs="Arial" w:eastAsia="Arial" w:hAnsi="Arial"/>
                <w:rtl w:val="0"/>
              </w:rPr>
              <w:t xml:space="preserve">Land at Bullockstone Road, Herne Bay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6">
            <w:pPr>
              <w:pageBreakBefore w:val="0"/>
              <w:jc w:val="right"/>
              <w:rPr>
                <w:rFonts w:ascii="Arial" w:cs="Arial" w:eastAsia="Arial" w:hAnsi="Arial"/>
              </w:rPr>
            </w:pPr>
            <w:r w:rsidDel="00000000" w:rsidR="00000000" w:rsidRPr="00000000">
              <w:rPr>
                <w:rFonts w:ascii="Arial" w:cs="Arial" w:eastAsia="Arial" w:hAnsi="Arial"/>
                <w:rtl w:val="0"/>
              </w:rPr>
              <w:t xml:space="preserve">190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7">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8">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9">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A">
            <w:pPr>
              <w:pageBreakBefore w:val="0"/>
              <w:jc w:val="right"/>
              <w:rPr>
                <w:rFonts w:ascii="Arial" w:cs="Arial" w:eastAsia="Arial" w:hAnsi="Arial"/>
              </w:rPr>
            </w:pPr>
            <w:r w:rsidDel="00000000" w:rsidR="00000000" w:rsidRPr="00000000">
              <w:rPr>
                <w:rFonts w:ascii="Arial" w:cs="Arial" w:eastAsia="Arial" w:hAnsi="Arial"/>
                <w:rtl w:val="0"/>
              </w:rPr>
              <w:t xml:space="preserve">50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B">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C">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ED">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EE">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EF">
            <w:pPr>
              <w:pageBreakBefore w:val="0"/>
              <w:rPr>
                <w:rFonts w:ascii="Arial" w:cs="Arial" w:eastAsia="Arial" w:hAnsi="Arial"/>
              </w:rPr>
            </w:pPr>
            <w:r w:rsidDel="00000000" w:rsidR="00000000" w:rsidRPr="00000000">
              <w:rPr>
                <w:rFonts w:ascii="Arial" w:cs="Arial" w:eastAsia="Arial" w:hAnsi="Arial"/>
                <w:rtl w:val="0"/>
              </w:rPr>
              <w:t xml:space="preserve">Spires, Land at Bredlands Lane, Sturry</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0">
            <w:pPr>
              <w:pageBreakBefore w:val="0"/>
              <w:jc w:val="right"/>
              <w:rPr>
                <w:rFonts w:ascii="Arial" w:cs="Arial" w:eastAsia="Arial" w:hAnsi="Arial"/>
              </w:rPr>
            </w:pPr>
            <w:r w:rsidDel="00000000" w:rsidR="00000000" w:rsidRPr="00000000">
              <w:rPr>
                <w:rFonts w:ascii="Arial" w:cs="Arial" w:eastAsia="Arial" w:hAnsi="Arial"/>
                <w:rtl w:val="0"/>
              </w:rPr>
              <w:t xml:space="preserve">81</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1">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2">
            <w:pPr>
              <w:pageBreakBefore w:val="0"/>
              <w:jc w:val="right"/>
              <w:rPr>
                <w:rFonts w:ascii="Arial" w:cs="Arial" w:eastAsia="Arial" w:hAnsi="Arial"/>
              </w:rPr>
            </w:pPr>
            <w:r w:rsidDel="00000000" w:rsidR="00000000" w:rsidRPr="00000000">
              <w:rPr>
                <w:rFonts w:ascii="Arial" w:cs="Arial" w:eastAsia="Arial" w:hAnsi="Arial"/>
                <w:rtl w:val="0"/>
              </w:rPr>
              <w:t xml:space="preserve">40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3">
            <w:pPr>
              <w:pageBreakBefore w:val="0"/>
              <w:jc w:val="right"/>
              <w:rPr>
                <w:rFonts w:ascii="Arial" w:cs="Arial" w:eastAsia="Arial" w:hAnsi="Arial"/>
              </w:rPr>
            </w:pPr>
            <w:r w:rsidDel="00000000" w:rsidR="00000000" w:rsidRPr="00000000">
              <w:rPr>
                <w:rFonts w:ascii="Arial" w:cs="Arial" w:eastAsia="Arial" w:hAnsi="Arial"/>
                <w:rtl w:val="0"/>
              </w:rPr>
              <w:t xml:space="preserve">41</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4">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5">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6">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7">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F8">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0F9">
            <w:pPr>
              <w:pageBreakBefore w:val="0"/>
              <w:rPr>
                <w:rFonts w:ascii="Arial" w:cs="Arial" w:eastAsia="Arial" w:hAnsi="Arial"/>
              </w:rPr>
            </w:pPr>
            <w:r w:rsidDel="00000000" w:rsidR="00000000" w:rsidRPr="00000000">
              <w:rPr>
                <w:rFonts w:ascii="Arial" w:cs="Arial" w:eastAsia="Arial" w:hAnsi="Arial"/>
                <w:rtl w:val="0"/>
              </w:rPr>
              <w:t xml:space="preserve">Barham Court Farm, Barham</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A">
            <w:pPr>
              <w:pageBreakBefore w:val="0"/>
              <w:jc w:val="right"/>
              <w:rPr>
                <w:rFonts w:ascii="Arial" w:cs="Arial" w:eastAsia="Arial" w:hAnsi="Arial"/>
              </w:rPr>
            </w:pPr>
            <w:r w:rsidDel="00000000" w:rsidR="00000000" w:rsidRPr="00000000">
              <w:rPr>
                <w:rFonts w:ascii="Arial" w:cs="Arial" w:eastAsia="Arial" w:hAnsi="Arial"/>
                <w:rtl w:val="0"/>
              </w:rPr>
              <w:t xml:space="preserve">25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B">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C">
            <w:pPr>
              <w:pageBreakBefore w:val="0"/>
              <w:jc w:val="right"/>
              <w:rPr>
                <w:rFonts w:ascii="Arial" w:cs="Arial" w:eastAsia="Arial" w:hAnsi="Arial"/>
              </w:rPr>
            </w:pPr>
            <w:r w:rsidDel="00000000" w:rsidR="00000000" w:rsidRPr="00000000">
              <w:rPr>
                <w:rFonts w:ascii="Arial" w:cs="Arial" w:eastAsia="Arial" w:hAnsi="Arial"/>
                <w:rtl w:val="0"/>
              </w:rPr>
              <w:t xml:space="preserve">25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D">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E">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0FF">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0">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1">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2">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103">
            <w:pPr>
              <w:pageBreakBefore w:val="0"/>
              <w:rPr>
                <w:rFonts w:ascii="Arial" w:cs="Arial" w:eastAsia="Arial" w:hAnsi="Arial"/>
              </w:rPr>
            </w:pPr>
            <w:r w:rsidDel="00000000" w:rsidR="00000000" w:rsidRPr="00000000">
              <w:rPr>
                <w:rFonts w:ascii="Arial" w:cs="Arial" w:eastAsia="Arial" w:hAnsi="Arial"/>
                <w:rtl w:val="0"/>
              </w:rPr>
              <w:t xml:space="preserve">Land at Baker's Lane, Chartham</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4">
            <w:pPr>
              <w:pageBreakBefore w:val="0"/>
              <w:jc w:val="right"/>
              <w:rPr>
                <w:rFonts w:ascii="Arial" w:cs="Arial" w:eastAsia="Arial" w:hAnsi="Arial"/>
              </w:rPr>
            </w:pPr>
            <w:r w:rsidDel="00000000" w:rsidR="00000000" w:rsidRPr="00000000">
              <w:rPr>
                <w:rFonts w:ascii="Arial" w:cs="Arial" w:eastAsia="Arial" w:hAnsi="Arial"/>
                <w:rtl w:val="0"/>
              </w:rPr>
              <w:t xml:space="preserve">20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5">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6">
            <w:pPr>
              <w:pageBreakBefore w:val="0"/>
              <w:jc w:val="right"/>
              <w:rPr>
                <w:rFonts w:ascii="Arial" w:cs="Arial" w:eastAsia="Arial" w:hAnsi="Arial"/>
              </w:rPr>
            </w:pPr>
            <w:r w:rsidDel="00000000" w:rsidR="00000000" w:rsidRPr="00000000">
              <w:rPr>
                <w:rFonts w:ascii="Arial" w:cs="Arial" w:eastAsia="Arial" w:hAnsi="Arial"/>
                <w:rtl w:val="0"/>
              </w:rPr>
              <w:t xml:space="preserve">20</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7">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8">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9">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A">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B">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0C">
            <w:pPr>
              <w:pageBreakBefore w:val="0"/>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00" w:hRule="atLeast"/>
          <w:tblHeader w:val="0"/>
        </w:trPr>
        <w:tc>
          <w:tcPr>
            <w:tcBorders>
              <w:left w:color="000000" w:space="0" w:sz="4" w:val="single"/>
              <w:bottom w:color="000000" w:space="0" w:sz="4" w:val="single"/>
            </w:tcBorders>
            <w:shd w:fill="ffffff" w:val="clear"/>
            <w:vAlign w:val="bottom"/>
          </w:tcPr>
          <w:p w:rsidR="00000000" w:rsidDel="00000000" w:rsidP="00000000" w:rsidRDefault="00000000" w:rsidRPr="00000000" w14:paraId="0000010D">
            <w:pPr>
              <w:pageBreakBefore w:val="0"/>
              <w:rPr>
                <w:rFonts w:ascii="Arial" w:cs="Arial" w:eastAsia="Arial" w:hAnsi="Arial"/>
              </w:rPr>
            </w:pPr>
            <w:r w:rsidDel="00000000" w:rsidR="00000000" w:rsidRPr="00000000">
              <w:rPr>
                <w:rFonts w:ascii="Arial" w:cs="Arial" w:eastAsia="Arial" w:hAnsi="Arial"/>
                <w:rtl w:val="0"/>
              </w:rPr>
              <w:t xml:space="preserve">Kingsmead Field</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E">
            <w:pPr>
              <w:pageBreakBefore w:val="0"/>
              <w:jc w:val="right"/>
              <w:rPr>
                <w:rFonts w:ascii="Arial" w:cs="Arial" w:eastAsia="Arial" w:hAnsi="Arial"/>
              </w:rPr>
            </w:pPr>
            <w:r w:rsidDel="00000000" w:rsidR="00000000" w:rsidRPr="00000000">
              <w:rPr>
                <w:rFonts w:ascii="Arial" w:cs="Arial" w:eastAsia="Arial" w:hAnsi="Arial"/>
                <w:rtl w:val="0"/>
              </w:rPr>
              <w:t xml:space="preserve">15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0F">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10">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11">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12">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13">
            <w:pPr>
              <w:pageBreakBefore w:val="0"/>
              <w:jc w:val="right"/>
              <w:rPr>
                <w:rFonts w:ascii="Arial" w:cs="Arial" w:eastAsia="Arial" w:hAnsi="Arial"/>
              </w:rPr>
            </w:pPr>
            <w:r w:rsidDel="00000000" w:rsidR="00000000" w:rsidRPr="00000000">
              <w:rPr>
                <w:rFonts w:ascii="Arial" w:cs="Arial" w:eastAsia="Arial" w:hAnsi="Arial"/>
                <w:rtl w:val="0"/>
              </w:rPr>
              <w:t xml:space="preserve">15</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14">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tcBorders>
            <w:shd w:fill="ffffff" w:val="clear"/>
            <w:vAlign w:val="bottom"/>
          </w:tcPr>
          <w:p w:rsidR="00000000" w:rsidDel="00000000" w:rsidP="00000000" w:rsidRDefault="00000000" w:rsidRPr="00000000" w14:paraId="00000115">
            <w:pPr>
              <w:pageBreakBefore w:val="0"/>
              <w:rPr>
                <w:rFonts w:ascii="Arial" w:cs="Arial" w:eastAsia="Arial" w:hAnsi="Arial"/>
              </w:rPr>
            </w:pPr>
            <w:r w:rsidDel="00000000" w:rsidR="00000000" w:rsidRPr="00000000">
              <w:rPr>
                <w:rFonts w:ascii="Arial" w:cs="Arial" w:eastAsia="Arial" w:hAnsi="Arial"/>
                <w:rtl w:val="0"/>
              </w:rPr>
              <w:t xml:space="preserve"> </w:t>
            </w:r>
          </w:p>
        </w:tc>
        <w:tc>
          <w:tcPr>
            <w:tcBorders>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116">
            <w:pPr>
              <w:pageBreakBefore w:val="0"/>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17">
      <w:pPr>
        <w:pageBreakBefore w:val="0"/>
        <w:widowControl w:val="1"/>
        <w:spacing w:after="200" w:line="276" w:lineRule="auto"/>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8">
      <w:pPr>
        <w:pageBreakBefore w:val="0"/>
        <w:widowControl w:val="1"/>
        <w:spacing w:after="20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Other Housing Allocations</w:t>
      </w:r>
    </w:p>
    <w:tbl>
      <w:tblPr>
        <w:tblStyle w:val="Table3"/>
        <w:tblW w:w="14327.000000000004" w:type="dxa"/>
        <w:jc w:val="left"/>
        <w:tblInd w:w="-16.999999999999993" w:type="dxa"/>
        <w:tblLayout w:type="fixed"/>
        <w:tblLook w:val="0400"/>
      </w:tblPr>
      <w:tblGrid>
        <w:gridCol w:w="1003"/>
        <w:gridCol w:w="3402"/>
        <w:gridCol w:w="1417"/>
        <w:gridCol w:w="1134"/>
        <w:gridCol w:w="992"/>
        <w:gridCol w:w="1134"/>
        <w:gridCol w:w="993"/>
        <w:gridCol w:w="992"/>
        <w:gridCol w:w="992"/>
        <w:gridCol w:w="709"/>
        <w:gridCol w:w="709"/>
        <w:gridCol w:w="850"/>
        <w:tblGridChange w:id="0">
          <w:tblGrid>
            <w:gridCol w:w="1003"/>
            <w:gridCol w:w="3402"/>
            <w:gridCol w:w="1417"/>
            <w:gridCol w:w="1134"/>
            <w:gridCol w:w="992"/>
            <w:gridCol w:w="1134"/>
            <w:gridCol w:w="993"/>
            <w:gridCol w:w="992"/>
            <w:gridCol w:w="992"/>
            <w:gridCol w:w="709"/>
            <w:gridCol w:w="709"/>
            <w:gridCol w:w="850"/>
          </w:tblGrid>
        </w:tblGridChange>
      </w:tblGrid>
      <w:tr>
        <w:trPr>
          <w:cantSplit w:val="0"/>
          <w:trHeight w:val="620" w:hRule="atLeast"/>
          <w:tblHeader w:val="0"/>
        </w:trPr>
        <w:tc>
          <w:tcPr>
            <w:tcBorders>
              <w:top w:color="000000" w:space="0" w:sz="8" w:val="single"/>
              <w:left w:color="000000" w:space="0" w:sz="8" w:val="single"/>
              <w:bottom w:color="000000" w:space="0" w:sz="8" w:val="single"/>
              <w:right w:color="000000" w:space="0" w:sz="8" w:val="single"/>
            </w:tcBorders>
            <w:shd w:fill="a6a6a6" w:val="clear"/>
          </w:tcPr>
          <w:p w:rsidR="00000000" w:rsidDel="00000000" w:rsidP="00000000" w:rsidRDefault="00000000" w:rsidRPr="00000000" w14:paraId="00000119">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Ref No</w:t>
            </w:r>
          </w:p>
        </w:tc>
        <w:tc>
          <w:tcPr>
            <w:tcBorders>
              <w:top w:color="000000" w:space="0" w:sz="8" w:val="single"/>
              <w:left w:color="000000" w:space="0" w:sz="8" w:val="single"/>
              <w:bottom w:color="000000" w:space="0" w:sz="8" w:val="single"/>
              <w:right w:color="000000" w:space="0" w:sz="8" w:val="single"/>
            </w:tcBorders>
            <w:shd w:fill="a6a6a6" w:val="clear"/>
          </w:tcPr>
          <w:p w:rsidR="00000000" w:rsidDel="00000000" w:rsidP="00000000" w:rsidRDefault="00000000" w:rsidRPr="00000000" w14:paraId="0000011A">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Site Address </w:t>
            </w:r>
          </w:p>
        </w:tc>
        <w:tc>
          <w:tcPr>
            <w:tcBorders>
              <w:top w:color="000000" w:space="0" w:sz="8" w:val="single"/>
              <w:left w:color="000000" w:space="0" w:sz="8" w:val="single"/>
              <w:bottom w:color="000000" w:space="0" w:sz="8" w:val="single"/>
              <w:right w:color="000000" w:space="0" w:sz="8" w:val="single"/>
            </w:tcBorders>
            <w:shd w:fill="a6a6a6" w:val="clear"/>
          </w:tcPr>
          <w:p w:rsidR="00000000" w:rsidDel="00000000" w:rsidP="00000000" w:rsidRDefault="00000000" w:rsidRPr="00000000" w14:paraId="0000011B">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Town</w:t>
            </w:r>
          </w:p>
        </w:tc>
        <w:tc>
          <w:tcPr>
            <w:tcBorders>
              <w:top w:color="000000" w:space="0" w:sz="8" w:val="single"/>
              <w:left w:color="000000" w:space="0" w:sz="8" w:val="single"/>
              <w:bottom w:color="000000" w:space="0" w:sz="8" w:val="single"/>
              <w:right w:color="000000" w:space="0" w:sz="8" w:val="single"/>
            </w:tcBorders>
            <w:shd w:fill="a6a6a6" w:val="clear"/>
          </w:tcPr>
          <w:p w:rsidR="00000000" w:rsidDel="00000000" w:rsidP="00000000" w:rsidRDefault="00000000" w:rsidRPr="00000000" w14:paraId="0000011C">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Allocated</w:t>
            </w:r>
          </w:p>
        </w:tc>
        <w:tc>
          <w:tcPr>
            <w:tcBorders>
              <w:top w:color="000000" w:space="0" w:sz="8" w:val="single"/>
              <w:left w:color="000000" w:space="0" w:sz="8" w:val="single"/>
              <w:bottom w:color="000000" w:space="0" w:sz="8" w:val="single"/>
              <w:right w:color="000000" w:space="0" w:sz="4" w:val="single"/>
            </w:tcBorders>
            <w:shd w:fill="a6a6a6" w:val="clear"/>
          </w:tcPr>
          <w:p w:rsidR="00000000" w:rsidDel="00000000" w:rsidP="00000000" w:rsidRDefault="00000000" w:rsidRPr="00000000" w14:paraId="0000011D">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Year 1  2014-15</w:t>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1E">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Year 2 2015-16</w:t>
            </w:r>
          </w:p>
          <w:p w:rsidR="00000000" w:rsidDel="00000000" w:rsidP="00000000" w:rsidRDefault="00000000" w:rsidRPr="00000000" w14:paraId="0000011F">
            <w:pPr>
              <w:pageBreakBefore w:val="0"/>
              <w:widowControl w:val="1"/>
              <w:spacing w:after="0" w:line="240" w:lineRule="auto"/>
              <w:rPr>
                <w:rFonts w:ascii="Arial" w:cs="Arial" w:eastAsia="Arial" w:hAnsi="Arial"/>
                <w:b w:val="1"/>
                <w:color w:val="000000"/>
              </w:rPr>
            </w:pP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a6a6a6" w:val="clear"/>
          </w:tcPr>
          <w:p w:rsidR="00000000" w:rsidDel="00000000" w:rsidP="00000000" w:rsidRDefault="00000000" w:rsidRPr="00000000" w14:paraId="00000120">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Year 3  2016-17</w:t>
            </w:r>
          </w:p>
        </w:tc>
        <w:tc>
          <w:tcPr>
            <w:tcBorders>
              <w:top w:color="000000" w:space="0" w:sz="8" w:val="single"/>
              <w:left w:color="000000" w:space="0" w:sz="8" w:val="single"/>
              <w:bottom w:color="000000" w:space="0" w:sz="8" w:val="single"/>
              <w:right w:color="000000" w:space="0" w:sz="4" w:val="single"/>
            </w:tcBorders>
            <w:shd w:fill="a6a6a6" w:val="clear"/>
          </w:tcPr>
          <w:p w:rsidR="00000000" w:rsidDel="00000000" w:rsidP="00000000" w:rsidRDefault="00000000" w:rsidRPr="00000000" w14:paraId="00000121">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Year 4  2017-18</w:t>
            </w:r>
          </w:p>
        </w:tc>
        <w:tc>
          <w:tcPr>
            <w:tcBorders>
              <w:top w:color="000000" w:space="0" w:sz="4" w:val="single"/>
              <w:left w:color="000000" w:space="0" w:sz="4" w:val="single"/>
              <w:bottom w:color="000000" w:space="0" w:sz="4" w:val="single"/>
              <w:right w:color="000000" w:space="0" w:sz="4" w:val="single"/>
            </w:tcBorders>
            <w:shd w:fill="a6a6a6" w:val="clear"/>
          </w:tcPr>
          <w:p w:rsidR="00000000" w:rsidDel="00000000" w:rsidP="00000000" w:rsidRDefault="00000000" w:rsidRPr="00000000" w14:paraId="00000122">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Year 5 </w:t>
            </w:r>
          </w:p>
          <w:p w:rsidR="00000000" w:rsidDel="00000000" w:rsidP="00000000" w:rsidRDefault="00000000" w:rsidRPr="00000000" w14:paraId="00000123">
            <w:pPr>
              <w:pageBreakBefore w:val="0"/>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2018-19</w:t>
            </w:r>
          </w:p>
        </w:tc>
        <w:tc>
          <w:tcPr>
            <w:tcBorders>
              <w:top w:color="000000" w:space="0" w:sz="8" w:val="single"/>
              <w:left w:color="000000" w:space="0" w:sz="4" w:val="single"/>
              <w:bottom w:color="000000" w:space="0" w:sz="8" w:val="single"/>
              <w:right w:color="000000" w:space="0" w:sz="8" w:val="single"/>
            </w:tcBorders>
            <w:shd w:fill="a6a6a6" w:val="clear"/>
          </w:tcPr>
          <w:p w:rsidR="00000000" w:rsidDel="00000000" w:rsidP="00000000" w:rsidRDefault="00000000" w:rsidRPr="00000000" w14:paraId="00000124">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2019-24</w:t>
            </w:r>
          </w:p>
        </w:tc>
        <w:tc>
          <w:tcPr>
            <w:tcBorders>
              <w:top w:color="000000" w:space="0" w:sz="8" w:val="single"/>
              <w:left w:color="000000" w:space="0" w:sz="8" w:val="single"/>
              <w:bottom w:color="000000" w:space="0" w:sz="8" w:val="single"/>
              <w:right w:color="000000" w:space="0" w:sz="8" w:val="single"/>
            </w:tcBorders>
            <w:shd w:fill="a6a6a6" w:val="clear"/>
          </w:tcPr>
          <w:p w:rsidR="00000000" w:rsidDel="00000000" w:rsidP="00000000" w:rsidRDefault="00000000" w:rsidRPr="00000000" w14:paraId="00000125">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2024-29</w:t>
            </w:r>
          </w:p>
        </w:tc>
        <w:tc>
          <w:tcPr>
            <w:tcBorders>
              <w:top w:color="000000" w:space="0" w:sz="8" w:val="single"/>
              <w:left w:color="000000" w:space="0" w:sz="8" w:val="single"/>
              <w:bottom w:color="000000" w:space="0" w:sz="8" w:val="single"/>
              <w:right w:color="000000" w:space="0" w:sz="8" w:val="single"/>
            </w:tcBorders>
            <w:shd w:fill="a6a6a6" w:val="clear"/>
          </w:tcPr>
          <w:p w:rsidR="00000000" w:rsidDel="00000000" w:rsidP="00000000" w:rsidRDefault="00000000" w:rsidRPr="00000000" w14:paraId="00000126">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2029-31</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2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CA503</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2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BT Car Park, Upper Chantry Lane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A">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E">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4"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2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3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CA488</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3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White Horse Lane, Land East of</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3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3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CA483</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 East Sta (South side), Land at, Gordon Road</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4">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4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CA482</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4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 East Station (North side) Car Park</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4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2">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5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CA481</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5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 West Station, Adj</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D">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E">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5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CA479</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6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Car Park adj Registry Office</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5</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6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6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CA282</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 Johns Lane Employment Exch.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9">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7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CA559</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7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Rough Common Rd</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Harbledown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7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1">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8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CA514</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8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181 Sea Street, Adj</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A">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E">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8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9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CA491</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9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 Station, Land at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9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9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CA426</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 Rd/Victoria Rd, Corner of</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6">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A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CA340</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A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Garage Site, Kings Road</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E">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A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2">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B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CA530</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B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Ladysmith Grove  (UCS Site W17), Land at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A">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C">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D">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16</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B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C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CA527</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C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Builders Yard r/o 3 Belmont Road</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C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C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CA310</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Beresford Road North and South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8">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9">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D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CA309</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D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Sea Street (Green's Warehouse)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D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0">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E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CA308</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E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124 &amp; adjoining Middle Wall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EF">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F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CA305</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1F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15 Hamilton Rd, Adj</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C">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1F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1F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CA554</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8-12 Pilgrims Way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5">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12</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0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CA524</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0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Tankerton Rd car park &amp; (garage -  CA/03/0364)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E">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0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0">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1">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1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CA507</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1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Castle Street Car Park</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A">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54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B">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C">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D">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54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1F">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0">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1">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2">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2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CA500</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2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Sea Cadets Centre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8">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2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2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CA477</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Holmans Meadow Car Park</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5">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3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CA347</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3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Ivy Lane North</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3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0">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4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CA286</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4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 John's Lane Car Park</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C">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4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5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CA281</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5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Hawks Lane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7">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8">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9">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A">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B">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C">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D">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5E">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5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CA278</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6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Northgate Car Park</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7">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6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CA047</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6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St Radigund's Place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6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0">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7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CA043B</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7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Rosemary Lane Car Park</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A">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C">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7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8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CA480</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8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Kingsmead depot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Canterbury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6">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8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8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CA375/HB3</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 Bus Depot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6">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9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HB1</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9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Central Development Area (Herne Bay Area Action Plan)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80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9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2">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3">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40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A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HB2</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A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Beach Street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(Herne Bay Area Action Plan)</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Herne Bay</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A">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B">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C">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20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A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2">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0" w:val="nil"/>
            </w:tcBorders>
            <w:shd w:fill="auto" w:val="clear"/>
            <w:vAlign w:val="center"/>
          </w:tcPr>
          <w:p w:rsidR="00000000" w:rsidDel="00000000" w:rsidP="00000000" w:rsidRDefault="00000000" w:rsidRPr="00000000" w14:paraId="000002B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CA299</w:t>
            </w:r>
          </w:p>
        </w:tc>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37 Essex Street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6">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8">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B">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C">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D">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BE">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2BF">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CA297</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0">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Adjacent to 100 Albert street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1">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Whitstable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2">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3">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4">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5">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6">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7">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8">
            <w:pPr>
              <w:pageBreakBefore w:val="0"/>
              <w:widowControl w:val="1"/>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9">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CA">
            <w:pPr>
              <w:pageBreakBefore w:val="0"/>
              <w:widowControl w:val="1"/>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CB">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C">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D">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E">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CF">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0">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1">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2">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3">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4">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5">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6">
            <w:pPr>
              <w:pageBreakBefore w:val="0"/>
              <w:widowControl w:val="1"/>
              <w:spacing w:after="0" w:line="240" w:lineRule="auto"/>
              <w:rPr>
                <w:color w:val="000000"/>
                <w:sz w:val="22"/>
                <w:szCs w:val="22"/>
              </w:rPr>
            </w:pPr>
            <w:r w:rsidDel="00000000" w:rsidR="00000000" w:rsidRPr="00000000">
              <w:rPr>
                <w:color w:val="000000"/>
                <w:sz w:val="22"/>
                <w:szCs w:val="22"/>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2D7">
            <w:pPr>
              <w:pageBreakBefore w:val="0"/>
              <w:widowControl w:val="1"/>
              <w:spacing w:after="0" w:line="240" w:lineRule="auto"/>
              <w:rPr>
                <w:b w:val="1"/>
                <w:color w:val="000000"/>
                <w:sz w:val="22"/>
                <w:szCs w:val="22"/>
              </w:rPr>
            </w:pPr>
            <w:r w:rsidDel="00000000" w:rsidR="00000000" w:rsidRPr="00000000">
              <w:rPr>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bottom"/>
          </w:tcPr>
          <w:p w:rsidR="00000000" w:rsidDel="00000000" w:rsidP="00000000" w:rsidRDefault="00000000" w:rsidRPr="00000000" w14:paraId="000002D8">
            <w:pPr>
              <w:pageBreakBefore w:val="0"/>
              <w:widowControl w:val="1"/>
              <w:spacing w:after="0" w:line="240" w:lineRule="auto"/>
              <w:rPr>
                <w:b w:val="1"/>
                <w:color w:val="000000"/>
                <w:sz w:val="22"/>
                <w:szCs w:val="22"/>
              </w:rPr>
            </w:pPr>
            <w:r w:rsidDel="00000000" w:rsidR="00000000" w:rsidRPr="00000000">
              <w:rPr>
                <w:b w:val="1"/>
                <w:color w:val="000000"/>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9">
            <w:pPr>
              <w:pageBreakBefore w:val="0"/>
              <w:widowControl w:val="1"/>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A">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715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B">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0</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C">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119</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D">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93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E">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363</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DF">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75</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0">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31</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1">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34</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2E2">
            <w:pPr>
              <w:pageBreakBefore w:val="0"/>
              <w:widowControl w:val="1"/>
              <w:spacing w:after="0" w:line="240" w:lineRule="auto"/>
              <w:jc w:val="right"/>
              <w:rPr>
                <w:rFonts w:ascii="Arial" w:cs="Arial" w:eastAsia="Arial" w:hAnsi="Arial"/>
                <w:b w:val="1"/>
                <w:color w:val="000000"/>
              </w:rPr>
            </w:pPr>
            <w:r w:rsidDel="00000000" w:rsidR="00000000" w:rsidRPr="00000000">
              <w:rPr>
                <w:rFonts w:ascii="Arial" w:cs="Arial" w:eastAsia="Arial" w:hAnsi="Arial"/>
                <w:b w:val="1"/>
                <w:color w:val="000000"/>
                <w:rtl w:val="0"/>
              </w:rPr>
              <w:t xml:space="preserve">0</w:t>
            </w:r>
          </w:p>
        </w:tc>
      </w:tr>
    </w:tbl>
    <w:p w:rsidR="00000000" w:rsidDel="00000000" w:rsidP="00000000" w:rsidRDefault="00000000" w:rsidRPr="00000000" w14:paraId="000002E3">
      <w:pPr>
        <w:pageBreakBefore w:val="0"/>
        <w:rPr/>
      </w:pPr>
      <w:r w:rsidDel="00000000" w:rsidR="00000000" w:rsidRPr="00000000">
        <w:rPr>
          <w:rtl w:val="0"/>
        </w:rPr>
      </w:r>
    </w:p>
    <w:sectPr>
      <w:type w:val="nextPage"/>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7"/>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widowControl w:val="0"/>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