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pPr>
      <w:r w:rsidDel="00000000" w:rsidR="00000000" w:rsidRPr="00000000">
        <w:rPr>
          <w:rtl w:val="0"/>
        </w:rPr>
        <w:tab/>
        <w:t xml:space="preserve">Date:</w:t>
        <w:tab/>
        <w:t xml:space="preserve">13 July 2015</w:t>
      </w:r>
      <w:r w:rsidDel="00000000" w:rsidR="00000000" w:rsidRPr="00000000">
        <w:drawing>
          <wp:anchor allowOverlap="1" behindDoc="0" distB="0" distT="0" distL="0" distR="0" hidden="0" layoutInCell="1" locked="0" relativeHeight="0" simplePos="0">
            <wp:simplePos x="0" y="0"/>
            <wp:positionH relativeFrom="column">
              <wp:posOffset>4836795</wp:posOffset>
            </wp:positionH>
            <wp:positionV relativeFrom="paragraph">
              <wp:posOffset>-321308</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5499735</wp:posOffset>
            </wp:positionH>
            <wp:positionV relativeFrom="paragraph">
              <wp:posOffset>7216140</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-1043937</wp:posOffset>
            </wp:positionH>
            <wp:positionV relativeFrom="paragraph">
              <wp:posOffset>9051925</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sz w:val="20"/>
          <w:szCs w:val="20"/>
        </w:rPr>
      </w:pPr>
      <w:r w:rsidDel="00000000" w:rsidR="00000000" w:rsidRPr="00000000">
        <w:rPr>
          <w:rtl w:val="0"/>
        </w:rPr>
        <w:tab/>
        <w:t xml:space="preserve">E-mail:</w:t>
        <w:tab/>
        <w:t xml:space="preserve">karen.britton@canterbury.gov.uk</w:t>
      </w:r>
      <w:r w:rsidDel="00000000" w:rsidR="00000000" w:rsidRPr="00000000">
        <w:rPr>
          <w:rtl w:val="0"/>
        </w:rPr>
      </w:r>
    </w:p>
    <w:p w:rsidR="00000000" w:rsidDel="00000000" w:rsidP="00000000" w:rsidRDefault="00000000" w:rsidRPr="00000000" w14:paraId="00000005">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sz w:val="24"/>
          <w:szCs w:val="24"/>
        </w:rPr>
      </w:pPr>
      <w:r w:rsidDel="00000000" w:rsidR="00000000" w:rsidRPr="00000000">
        <w:rPr>
          <w:sz w:val="24"/>
          <w:szCs w:val="24"/>
          <w:rtl w:val="0"/>
        </w:rPr>
        <w:t xml:space="preserve">Dear Mr Moore</w:t>
      </w:r>
    </w:p>
    <w:p w:rsidR="00000000" w:rsidDel="00000000" w:rsidP="00000000" w:rsidRDefault="00000000" w:rsidRPr="00000000" w14:paraId="00000014">
      <w:pPr>
        <w:pageBreakBefore w:val="0"/>
        <w:tabs>
          <w:tab w:val="left" w:leader="none" w:pos="1043"/>
        </w:tabs>
        <w:jc w:val="both"/>
        <w:rPr>
          <w:sz w:val="24"/>
          <w:szCs w:val="24"/>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Canterbury District Local Plan – Examination</w:t>
      </w:r>
    </w:p>
    <w:p w:rsidR="00000000" w:rsidDel="00000000" w:rsidP="00000000" w:rsidRDefault="00000000" w:rsidRPr="00000000" w14:paraId="00000016">
      <w:pPr>
        <w:pageBreakBefore w:val="0"/>
        <w:rPr>
          <w:b w:val="1"/>
        </w:rPr>
      </w:pPr>
      <w:r w:rsidDel="00000000" w:rsidR="00000000" w:rsidRPr="00000000">
        <w:rPr>
          <w:b w:val="1"/>
          <w:rtl w:val="0"/>
        </w:rPr>
        <w:t xml:space="preserve">Canterbury City Council Further Response to Inspector’s letter dated 1.04.15</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Following your letter of 1 April 2015 and our response of 8 May 2015 (CDLP 16.13), I now provide further response to items 3, 4, 5, 6, 8, 9 and 10 prior to the Examination commencing.</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Item 3 – Consultants NLP undertook further work which considers the 2012-based sub-national household projections – this is located at CDLP 5.7</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t xml:space="preserve">Item 4 – this Affordable Housing issue has been considered and a proposed Modification to the text has been prepared (see enclosed draft Main Modifications table for Stage 1 of the Examination).</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t xml:space="preserve">Item 5 – Housing standards – This is to be considered at Stage 2 of the Examination and a response will be prepared for then.</w:t>
      </w:r>
    </w:p>
    <w:p w:rsidR="00000000" w:rsidDel="00000000" w:rsidP="00000000" w:rsidRDefault="00000000" w:rsidRPr="00000000" w14:paraId="0000001F">
      <w:pPr>
        <w:pageBreakBefore w:val="0"/>
        <w:jc w:val="both"/>
        <w:rPr/>
      </w:pPr>
      <w:r w:rsidDel="00000000" w:rsidR="00000000" w:rsidRPr="00000000">
        <w:rPr>
          <w:rtl w:val="0"/>
        </w:rPr>
        <w:t xml:space="preserve"> </w:t>
      </w:r>
    </w:p>
    <w:p w:rsidR="00000000" w:rsidDel="00000000" w:rsidP="00000000" w:rsidRDefault="00000000" w:rsidRPr="00000000" w14:paraId="00000020">
      <w:pPr>
        <w:pageBreakBefore w:val="0"/>
        <w:jc w:val="both"/>
        <w:rPr/>
      </w:pPr>
      <w:r w:rsidDel="00000000" w:rsidR="00000000" w:rsidRPr="00000000">
        <w:rPr>
          <w:rtl w:val="0"/>
        </w:rPr>
        <w:t xml:space="preserve">Item 6 – Parking standards – the Council applies Kent County Council standards – CCC’s Matter 5 Statement refers to this – (see enclosed draft Main Modifications).</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rtl w:val="0"/>
        </w:rPr>
        <w:t xml:space="preserve">Item 8 – Para.153, NPPF supports the preparation of supplementary planning documents where they can help applicants make successful applications or aid infrastructure delivery. However, wording has been amended in the enclosed draft Main Modifications table for Stage 1 of the Examination.</w:t>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t xml:space="preserve">Item 9 – A list of superseded policies will be listed clearly in the Plan as an Appendix and are enclosed.</w:t>
      </w:r>
    </w:p>
    <w:p w:rsidR="00000000" w:rsidDel="00000000" w:rsidP="00000000" w:rsidRDefault="00000000" w:rsidRPr="00000000" w14:paraId="00000025">
      <w:pPr>
        <w:pageBreakBefore w:val="0"/>
        <w:jc w:val="both"/>
        <w:rPr>
          <w:b w:val="1"/>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t xml:space="preserve">Item 10 – The key diagram has been prepared and will form part of proposed Main Modifications table for Stage 1 of the Examination – copy enclosed.</w:t>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bookmarkStart w:colFirst="0" w:colLast="0" w:name="_gjdgxs" w:id="0"/>
      <w:bookmarkEnd w:id="0"/>
      <w:r w:rsidDel="00000000" w:rsidR="00000000" w:rsidRPr="00000000">
        <w:rPr>
          <w:rtl w:val="0"/>
        </w:rPr>
        <w:t xml:space="preserve">In addition, the Council intend to make changes to Policy SP2 (page 23), Tables H1, H2 and H4 (page 43-45) to update information in the light of the Council’s submitted Statements.</w:t>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spacing w:after="200" w:line="276" w:lineRule="auto"/>
        <w:jc w:val="both"/>
        <w:rPr/>
      </w:pPr>
      <w:r w:rsidDel="00000000" w:rsidR="00000000" w:rsidRPr="00000000">
        <w:rPr>
          <w:rtl w:val="0"/>
        </w:rPr>
        <w:t xml:space="preserve">I trust these responses address the queries you raise.</w:t>
      </w:r>
    </w:p>
    <w:p w:rsidR="00000000" w:rsidDel="00000000" w:rsidP="00000000" w:rsidRDefault="00000000" w:rsidRPr="00000000" w14:paraId="0000002D">
      <w:pPr>
        <w:pageBreakBefore w:val="0"/>
        <w:spacing w:line="276" w:lineRule="auto"/>
        <w:rPr/>
      </w:pPr>
      <w:r w:rsidDel="00000000" w:rsidR="00000000" w:rsidRPr="00000000">
        <w:rPr>
          <w:rtl w:val="0"/>
        </w:rPr>
        <w:t xml:space="preserve">Yours sincerely</w:t>
      </w:r>
    </w:p>
    <w:p w:rsidR="00000000" w:rsidDel="00000000" w:rsidP="00000000" w:rsidRDefault="00000000" w:rsidRPr="00000000" w14:paraId="0000002E">
      <w:pPr>
        <w:pageBreakBefore w:val="0"/>
        <w:spacing w:line="276" w:lineRule="auto"/>
        <w:rPr/>
      </w:pPr>
      <w:r w:rsidDel="00000000" w:rsidR="00000000" w:rsidRPr="00000000">
        <w:rPr>
          <w:rtl w:val="0"/>
        </w:rPr>
        <w:t xml:space="preserve">Karen Britton</w:t>
      </w:r>
    </w:p>
    <w:p w:rsidR="00000000" w:rsidDel="00000000" w:rsidP="00000000" w:rsidRDefault="00000000" w:rsidRPr="00000000" w14:paraId="0000002F">
      <w:pPr>
        <w:pageBreakBefore w:val="0"/>
        <w:spacing w:line="276" w:lineRule="auto"/>
        <w:rPr>
          <w:b w:val="1"/>
        </w:rPr>
      </w:pPr>
      <w:r w:rsidDel="00000000" w:rsidR="00000000" w:rsidRPr="00000000">
        <w:rPr>
          <w:b w:val="1"/>
          <w:rtl w:val="0"/>
        </w:rPr>
        <w:t xml:space="preserve">Planning Policy Manager</w:t>
      </w:r>
    </w:p>
    <w:sectPr>
      <w:pgSz w:h="16830" w:w="11904" w:orient="portrait"/>
      <w:pgMar w:bottom="1843" w:top="510" w:left="1644" w:right="164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