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jc w:val="center"/>
        <w:rPr>
          <w:rFonts w:ascii="Arial" w:cs="Arial" w:eastAsia="Arial" w:hAnsi="Arial"/>
          <w:b w:val="1"/>
          <w:sz w:val="20"/>
          <w:szCs w:val="20"/>
        </w:rPr>
      </w:pPr>
      <w:bookmarkStart w:colFirst="0" w:colLast="0" w:name="_gjdgxs" w:id="0"/>
      <w:bookmarkEnd w:id="0"/>
      <w:r w:rsidDel="00000000" w:rsidR="00000000" w:rsidRPr="00000000">
        <w:rPr>
          <w:rFonts w:ascii="Arial" w:cs="Arial" w:eastAsia="Arial" w:hAnsi="Arial"/>
          <w:b w:val="1"/>
          <w:sz w:val="20"/>
          <w:szCs w:val="20"/>
          <w:rtl w:val="0"/>
        </w:rPr>
        <w:t xml:space="preserve">GRASMERE VILLAGE RESIDENTS’ ASSOCIATION (GVRA)</w:t>
      </w:r>
    </w:p>
    <w:p w:rsidR="00000000" w:rsidDel="00000000" w:rsidP="00000000" w:rsidRDefault="00000000" w:rsidRPr="00000000" w14:paraId="00000002">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ab/>
        <w:tab/>
        <w:t xml:space="preserve">5 Grasmere Park</w:t>
      </w:r>
    </w:p>
    <w:p w:rsidR="00000000" w:rsidDel="00000000" w:rsidP="00000000" w:rsidRDefault="00000000" w:rsidRPr="00000000" w14:paraId="00000004">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ab/>
        <w:tab/>
        <w:t xml:space="preserve">Chestfield</w:t>
      </w:r>
    </w:p>
    <w:p w:rsidR="00000000" w:rsidDel="00000000" w:rsidP="00000000" w:rsidRDefault="00000000" w:rsidRPr="00000000" w14:paraId="00000005">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ab/>
        <w:tab/>
        <w:t xml:space="preserve">Whitstable</w:t>
      </w:r>
    </w:p>
    <w:p w:rsidR="00000000" w:rsidDel="00000000" w:rsidP="00000000" w:rsidRDefault="00000000" w:rsidRPr="00000000" w14:paraId="00000006">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ab/>
        <w:tab/>
        <w:t xml:space="preserve">Kent</w:t>
      </w:r>
    </w:p>
    <w:p w:rsidR="00000000" w:rsidDel="00000000" w:rsidP="00000000" w:rsidRDefault="00000000" w:rsidRPr="00000000" w14:paraId="00000007">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ab/>
        <w:tab/>
        <w:t xml:space="preserve">CT5 3PP</w:t>
      </w:r>
    </w:p>
    <w:p w:rsidR="00000000" w:rsidDel="00000000" w:rsidP="00000000" w:rsidRDefault="00000000" w:rsidRPr="00000000" w14:paraId="00000008">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ab/>
        <w:tab/>
        <w:t xml:space="preserve">30 March 2016</w:t>
      </w:r>
    </w:p>
    <w:p w:rsidR="00000000" w:rsidDel="00000000" w:rsidP="00000000" w:rsidRDefault="00000000" w:rsidRPr="00000000" w14:paraId="00000009">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Freedom of Information &amp; Data Protection Co-Ordinator</w:t>
      </w:r>
    </w:p>
    <w:p w:rsidR="00000000" w:rsidDel="00000000" w:rsidP="00000000" w:rsidRDefault="00000000" w:rsidRPr="00000000" w14:paraId="0000000A">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Strategy &amp; Democracy</w:t>
      </w:r>
    </w:p>
    <w:p w:rsidR="00000000" w:rsidDel="00000000" w:rsidP="00000000" w:rsidRDefault="00000000" w:rsidRPr="00000000" w14:paraId="0000000B">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 City Council</w:t>
      </w:r>
    </w:p>
    <w:p w:rsidR="00000000" w:rsidDel="00000000" w:rsidP="00000000" w:rsidRDefault="00000000" w:rsidRPr="00000000" w14:paraId="0000000C">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Military Road</w:t>
      </w:r>
    </w:p>
    <w:p w:rsidR="00000000" w:rsidDel="00000000" w:rsidP="00000000" w:rsidRDefault="00000000" w:rsidRPr="00000000" w14:paraId="0000000D">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p w:rsidR="00000000" w:rsidDel="00000000" w:rsidP="00000000" w:rsidRDefault="00000000" w:rsidRPr="00000000" w14:paraId="0000000E">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CT1 1YW</w:t>
      </w:r>
    </w:p>
    <w:p w:rsidR="00000000" w:rsidDel="00000000" w:rsidP="00000000" w:rsidRDefault="00000000" w:rsidRPr="00000000" w14:paraId="0000000F">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Dear Sir/Madam</w:t>
      </w:r>
    </w:p>
    <w:p w:rsidR="00000000" w:rsidDel="00000000" w:rsidP="00000000" w:rsidRDefault="00000000" w:rsidRPr="00000000" w14:paraId="00000011">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FREEDOM OF INFORMATION REQUEST</w:t>
      </w:r>
    </w:p>
    <w:p w:rsidR="00000000" w:rsidDel="00000000" w:rsidP="00000000" w:rsidRDefault="00000000" w:rsidRPr="00000000" w14:paraId="00000013">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a freedom of information request made under the Freedom of Information Act 2000. The request relates to the preparation of the Canterbury District Local Plan. Specifically it relates to the proposed inclusion of the land south of the John Wilson Business Park (Grasmere Pasture) as a housing development site in the Local Plan.</w:t>
      </w:r>
    </w:p>
    <w:p w:rsidR="00000000" w:rsidDel="00000000" w:rsidP="00000000" w:rsidRDefault="00000000" w:rsidRPr="00000000" w14:paraId="00000015">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request covers specifically the period from 23 January 2016, the day after the consultation on the revised Local Plan closed, until 22 March 2016, when the Planning Policy Manager, Ms Britton, responded to the Planning Inspector, Mr Moore, stating that there was to be no change in the proposed development sites to be included in the Local Plan, including the land south of the John Wilson Business Park.</w:t>
      </w:r>
    </w:p>
    <w:p w:rsidR="00000000" w:rsidDel="00000000" w:rsidP="00000000" w:rsidRDefault="00000000" w:rsidRPr="00000000" w14:paraId="00000017">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Specifically the information we are requesting for this period is the following:</w:t>
      </w:r>
    </w:p>
    <w:p w:rsidR="00000000" w:rsidDel="00000000" w:rsidP="00000000" w:rsidRDefault="00000000" w:rsidRPr="00000000" w14:paraId="00000019">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analyses of the consultation responses relating to the land south of the John Wilson Business Park and assessments of its suitability for continued inclusion in the Local Plan in light of those responses undertaken and completed within the period specified above;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correspondence or emails, either internal or with external bodies, relating to the site and its suitability or otherwise for continued inclusion in the Local Plan in light of consultation responses again within that period;</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Specifically, how was the final decision to continue to include the land south of the John Wilson Business Park in the Local Plan taken and, given the overwhelming number of public and organisational objections to this, who was party to this decision and on the basis of what papers did they take the decision. Please supply copies of any such papers and any minutes of the decision-making meeting(s).</w:t>
      </w:r>
      <w:r w:rsidDel="00000000" w:rsidR="00000000" w:rsidRPr="00000000">
        <w:rPr>
          <w:rtl w:val="0"/>
        </w:rPr>
      </w:r>
    </w:p>
    <w:p w:rsidR="00000000" w:rsidDel="00000000" w:rsidP="00000000" w:rsidRDefault="00000000" w:rsidRPr="00000000" w14:paraId="0000001D">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ask that, given that the request does not relate to archived material and covers only a short period of time, a response to this request is supplied within the 20 working day objective timescale.</w:t>
      </w:r>
    </w:p>
    <w:p w:rsidR="00000000" w:rsidDel="00000000" w:rsidP="00000000" w:rsidRDefault="00000000" w:rsidRPr="00000000" w14:paraId="0000001F">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Yours faithfully</w:t>
      </w:r>
    </w:p>
    <w:p w:rsidR="00000000" w:rsidDel="00000000" w:rsidP="00000000" w:rsidRDefault="00000000" w:rsidRPr="00000000" w14:paraId="00000021">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Robert L Jackson (Dr)</w:t>
      </w:r>
    </w:p>
    <w:p w:rsidR="00000000" w:rsidDel="00000000" w:rsidP="00000000" w:rsidRDefault="00000000" w:rsidRPr="00000000" w14:paraId="00000026">
      <w:pPr>
        <w:pageBreakBefore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GVRA Secretary</w:t>
      </w:r>
    </w:p>
    <w:p w:rsidR="00000000" w:rsidDel="00000000" w:rsidP="00000000" w:rsidRDefault="00000000" w:rsidRPr="00000000" w14:paraId="00000027">
      <w:pPr>
        <w:pageBreakBefore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pageBreakBefore w:val="0"/>
        <w:spacing w:after="0" w:lineRule="auto"/>
        <w:rPr>
          <w:rFonts w:ascii="Arial" w:cs="Arial" w:eastAsia="Arial" w:hAnsi="Arial"/>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