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rPr>
          <w:b w:val="1"/>
          <w:sz w:val="28"/>
          <w:szCs w:val="28"/>
          <w:u w:val="single"/>
        </w:rPr>
      </w:pPr>
      <w:bookmarkStart w:colFirst="0" w:colLast="0" w:name="_gjdgxs" w:id="0"/>
      <w:bookmarkEnd w:id="0"/>
      <w:r w:rsidDel="00000000" w:rsidR="00000000" w:rsidRPr="00000000">
        <w:rPr>
          <w:b w:val="1"/>
          <w:sz w:val="28"/>
          <w:szCs w:val="28"/>
          <w:u w:val="single"/>
          <w:rtl w:val="0"/>
        </w:rPr>
        <w:t xml:space="preserve">5 Year Housing Land Supply Calculation Update (April 2016)</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number of existing housing allocations were carried forward from the Adopted Canterbury District Local Plan (2006) into the Publication Draft (June 2014).</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CDLP 18.1 Proposed Amendments (November 2015) recommended that some of these be removed, based on the information available to officers at the time relating to the availability and deliverability of these sites.</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Those sites were therefore removed from the housing supply figures, as presented in CDLP 5.8 Housing Land Revised Position Statement (January 2016).</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However, during the Proposed Amendments consultation, representations were received from the agent / site promoters of three of the sites. Based on these comments, the following sites have therefore been re-instated into the Schedule of Housing Allocations and Permissions and the table below reflects the updated housing supply figures, as at 28</w:t>
      </w:r>
      <w:r w:rsidDel="00000000" w:rsidR="00000000" w:rsidRPr="00000000">
        <w:rPr>
          <w:rFonts w:ascii="Calibri" w:cs="Calibri" w:eastAsia="Calibri" w:hAnsi="Calibri"/>
          <w:b w:val="0"/>
          <w:i w:val="0"/>
          <w:smallCaps w:val="0"/>
          <w:strike w:val="0"/>
          <w:color w:val="000000"/>
          <w:sz w:val="22"/>
          <w:szCs w:val="22"/>
          <w:u w:val="none"/>
          <w:shd w:fill="auto" w:val="clear"/>
          <w:vertAlign w:val="superscript"/>
          <w:rtl w:val="0"/>
        </w:rPr>
        <w:t xml:space="preserve">th</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April 2016.</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singl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singl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single"/>
          <w:shd w:fill="auto" w:val="clear"/>
          <w:vertAlign w:val="baseline"/>
          <w:rtl w:val="0"/>
        </w:rPr>
        <w:t xml:space="preserve">Sites for re-instatement</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singl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1"/>
          <w:i w:val="0"/>
          <w:smallCaps w:val="0"/>
          <w:strike w:val="0"/>
          <w:color w:val="000000"/>
          <w:sz w:val="22"/>
          <w:szCs w:val="22"/>
          <w:u w:val="singl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CA482 Canterbury East Station (North Side) Car Park = (24 Units)</w:t>
      </w:r>
      <w:r w:rsidDel="00000000" w:rsidR="00000000" w:rsidRPr="00000000">
        <w:rPr>
          <w:rtl w:val="0"/>
        </w:rPr>
      </w:r>
    </w:p>
    <w:p w:rsidR="00000000" w:rsidDel="00000000" w:rsidP="00000000" w:rsidRDefault="00000000" w:rsidRPr="00000000" w14:paraId="0000000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1"/>
          <w:i w:val="0"/>
          <w:smallCaps w:val="0"/>
          <w:strike w:val="0"/>
          <w:color w:val="000000"/>
          <w:sz w:val="22"/>
          <w:szCs w:val="22"/>
          <w:u w:val="singl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CA491 Land at Herne Bay Station = (35 Units)</w:t>
      </w:r>
      <w:r w:rsidDel="00000000" w:rsidR="00000000" w:rsidRPr="00000000">
        <w:rPr>
          <w:rtl w:val="0"/>
        </w:rPr>
      </w:r>
    </w:p>
    <w:p w:rsidR="00000000" w:rsidDel="00000000" w:rsidP="00000000" w:rsidRDefault="00000000" w:rsidRPr="00000000" w14:paraId="0000000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b w:val="1"/>
          <w:i w:val="0"/>
          <w:smallCaps w:val="0"/>
          <w:strike w:val="0"/>
          <w:color w:val="000000"/>
          <w:sz w:val="22"/>
          <w:szCs w:val="22"/>
          <w:u w:val="singl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CA530 Land at Ladysmith Grove (UCS Site W17) = (31 Units)</w:t>
      </w:r>
      <w:r w:rsidDel="00000000" w:rsidR="00000000" w:rsidRPr="00000000">
        <w:rPr>
          <w:rtl w:val="0"/>
        </w:rPr>
      </w:r>
    </w:p>
    <w:p w:rsidR="00000000" w:rsidDel="00000000" w:rsidP="00000000" w:rsidRDefault="00000000" w:rsidRPr="00000000" w14:paraId="00000010">
      <w:pPr>
        <w:pageBreakBefore w:val="0"/>
        <w:jc w:val="both"/>
        <w:rPr/>
      </w:pPr>
      <w:r w:rsidDel="00000000" w:rsidR="00000000" w:rsidRPr="00000000">
        <w:rPr>
          <w:rtl w:val="0"/>
        </w:rPr>
        <w:t xml:space="preserve">The Table below is an update on CDLP 5.8 Housing Land Revised Position Statement (January 2016) which shows that the re-instatement of the aforementioned allocations increases the number of units that can be provided in the first 5 years of the plan period by 90 units.  As a result, the  City Council can now demonstrate 5.74 years’ worth of housing supply within the first 5 year period following the adoption of the Local Plan (2015/16 – 2019/20).</w:t>
      </w:r>
    </w:p>
    <w:p w:rsidR="00000000" w:rsidDel="00000000" w:rsidP="00000000" w:rsidRDefault="00000000" w:rsidRPr="00000000" w14:paraId="00000011">
      <w:pPr>
        <w:pageBreakBefore w:val="0"/>
        <w:jc w:val="both"/>
        <w:rPr/>
      </w:pPr>
      <w:r w:rsidDel="00000000" w:rsidR="00000000" w:rsidRPr="00000000">
        <w:rPr>
          <w:rtl w:val="0"/>
        </w:rPr>
      </w:r>
    </w:p>
    <w:tbl>
      <w:tblPr>
        <w:tblStyle w:val="Table1"/>
        <w:tblW w:w="6673.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748"/>
        <w:gridCol w:w="925"/>
        <w:tblGridChange w:id="0">
          <w:tblGrid>
            <w:gridCol w:w="5748"/>
            <w:gridCol w:w="925"/>
          </w:tblGrid>
        </w:tblGridChange>
      </w:tblGrid>
      <w:tr>
        <w:trPr>
          <w:cantSplit w:val="0"/>
          <w:trHeight w:val="400" w:hRule="atLeast"/>
          <w:tblHeader w:val="0"/>
        </w:trPr>
        <w:tc>
          <w:tcPr>
            <w:shd w:fill="auto" w:val="clear"/>
            <w:vAlign w:val="bottom"/>
          </w:tcPr>
          <w:p w:rsidR="00000000" w:rsidDel="00000000" w:rsidP="00000000" w:rsidRDefault="00000000" w:rsidRPr="00000000" w14:paraId="00000012">
            <w:pPr>
              <w:pageBreakBefore w:val="0"/>
              <w:spacing w:after="0" w:line="240" w:lineRule="auto"/>
              <w:rPr>
                <w:b w:val="1"/>
              </w:rPr>
            </w:pPr>
            <w:r w:rsidDel="00000000" w:rsidR="00000000" w:rsidRPr="00000000">
              <w:rPr>
                <w:rtl w:val="0"/>
              </w:rPr>
              <w:t xml:space="preserve"> </w:t>
            </w:r>
            <w:r w:rsidDel="00000000" w:rsidR="00000000" w:rsidRPr="00000000">
              <w:rPr>
                <w:b w:val="1"/>
                <w:rtl w:val="0"/>
              </w:rPr>
              <w:t xml:space="preserve">5 year supply 2015/16-2019/20</w:t>
            </w:r>
          </w:p>
        </w:tc>
        <w:tc>
          <w:tcPr>
            <w:shd w:fill="auto" w:val="clear"/>
            <w:vAlign w:val="bottom"/>
          </w:tcPr>
          <w:p w:rsidR="00000000" w:rsidDel="00000000" w:rsidP="00000000" w:rsidRDefault="00000000" w:rsidRPr="00000000" w14:paraId="00000013">
            <w:pPr>
              <w:pageBreakBefore w:val="0"/>
              <w:spacing w:after="0" w:line="240" w:lineRule="auto"/>
              <w:rPr>
                <w:b w:val="1"/>
              </w:rPr>
            </w:pPr>
            <w:r w:rsidDel="00000000" w:rsidR="00000000" w:rsidRPr="00000000">
              <w:rPr>
                <w:b w:val="1"/>
                <w:rtl w:val="0"/>
              </w:rPr>
              <w:t xml:space="preserve"> </w:t>
            </w:r>
          </w:p>
        </w:tc>
      </w:tr>
      <w:tr>
        <w:trPr>
          <w:cantSplit w:val="0"/>
          <w:trHeight w:val="380" w:hRule="atLeast"/>
          <w:tblHeader w:val="0"/>
        </w:trPr>
        <w:tc>
          <w:tcPr>
            <w:shd w:fill="auto" w:val="clear"/>
            <w:vAlign w:val="bottom"/>
          </w:tcPr>
          <w:p w:rsidR="00000000" w:rsidDel="00000000" w:rsidP="00000000" w:rsidRDefault="00000000" w:rsidRPr="00000000" w14:paraId="00000014">
            <w:pPr>
              <w:pageBreakBefore w:val="0"/>
              <w:spacing w:after="0" w:line="240" w:lineRule="auto"/>
              <w:rPr>
                <w:b w:val="1"/>
              </w:rPr>
            </w:pPr>
            <w:r w:rsidDel="00000000" w:rsidR="00000000" w:rsidRPr="00000000">
              <w:rPr>
                <w:b w:val="1"/>
                <w:rtl w:val="0"/>
              </w:rPr>
              <w:t xml:space="preserve">Local Plan 2014 requirement 2011-31* (800pa)</w:t>
            </w:r>
          </w:p>
        </w:tc>
        <w:tc>
          <w:tcPr>
            <w:shd w:fill="auto" w:val="clear"/>
            <w:vAlign w:val="bottom"/>
          </w:tcPr>
          <w:p w:rsidR="00000000" w:rsidDel="00000000" w:rsidP="00000000" w:rsidRDefault="00000000" w:rsidRPr="00000000" w14:paraId="00000015">
            <w:pPr>
              <w:pageBreakBefore w:val="0"/>
              <w:spacing w:after="0" w:line="240" w:lineRule="auto"/>
              <w:jc w:val="right"/>
              <w:rPr>
                <w:b w:val="1"/>
              </w:rPr>
            </w:pPr>
            <w:r w:rsidDel="00000000" w:rsidR="00000000" w:rsidRPr="00000000">
              <w:rPr>
                <w:b w:val="1"/>
                <w:rtl w:val="0"/>
              </w:rPr>
              <w:t xml:space="preserve">16000</w:t>
            </w:r>
          </w:p>
        </w:tc>
      </w:tr>
      <w:tr>
        <w:trPr>
          <w:cantSplit w:val="0"/>
          <w:trHeight w:val="380" w:hRule="atLeast"/>
          <w:tblHeader w:val="0"/>
        </w:trPr>
        <w:tc>
          <w:tcPr>
            <w:shd w:fill="auto" w:val="clear"/>
            <w:vAlign w:val="bottom"/>
          </w:tcPr>
          <w:p w:rsidR="00000000" w:rsidDel="00000000" w:rsidP="00000000" w:rsidRDefault="00000000" w:rsidRPr="00000000" w14:paraId="00000016">
            <w:pPr>
              <w:pageBreakBefore w:val="0"/>
              <w:spacing w:after="0" w:line="240" w:lineRule="auto"/>
              <w:rPr/>
            </w:pPr>
            <w:r w:rsidDel="00000000" w:rsidR="00000000" w:rsidRPr="00000000">
              <w:rPr>
                <w:rtl w:val="0"/>
              </w:rPr>
              <w:t xml:space="preserve">Completions  from 01/04/11 to 31/03/15</w:t>
            </w:r>
          </w:p>
        </w:tc>
        <w:tc>
          <w:tcPr>
            <w:shd w:fill="auto" w:val="clear"/>
            <w:vAlign w:val="bottom"/>
          </w:tcPr>
          <w:p w:rsidR="00000000" w:rsidDel="00000000" w:rsidP="00000000" w:rsidRDefault="00000000" w:rsidRPr="00000000" w14:paraId="00000017">
            <w:pPr>
              <w:pageBreakBefore w:val="0"/>
              <w:spacing w:after="0" w:line="240" w:lineRule="auto"/>
              <w:jc w:val="right"/>
              <w:rPr/>
            </w:pPr>
            <w:r w:rsidDel="00000000" w:rsidR="00000000" w:rsidRPr="00000000">
              <w:rPr>
                <w:rtl w:val="0"/>
              </w:rPr>
              <w:t xml:space="preserve">1908</w:t>
            </w:r>
          </w:p>
        </w:tc>
      </w:tr>
      <w:tr>
        <w:trPr>
          <w:cantSplit w:val="0"/>
          <w:trHeight w:val="380" w:hRule="atLeast"/>
          <w:tblHeader w:val="0"/>
        </w:trPr>
        <w:tc>
          <w:tcPr>
            <w:shd w:fill="auto" w:val="clear"/>
            <w:vAlign w:val="bottom"/>
          </w:tcPr>
          <w:p w:rsidR="00000000" w:rsidDel="00000000" w:rsidP="00000000" w:rsidRDefault="00000000" w:rsidRPr="00000000" w14:paraId="00000018">
            <w:pPr>
              <w:pageBreakBefore w:val="0"/>
              <w:spacing w:after="0" w:line="240" w:lineRule="auto"/>
              <w:rPr/>
            </w:pPr>
            <w:r w:rsidDel="00000000" w:rsidR="00000000" w:rsidRPr="00000000">
              <w:rPr>
                <w:rtl w:val="0"/>
              </w:rPr>
              <w:t xml:space="preserve">Residual requirement</w:t>
            </w:r>
          </w:p>
        </w:tc>
        <w:tc>
          <w:tcPr>
            <w:shd w:fill="auto" w:val="clear"/>
            <w:vAlign w:val="bottom"/>
          </w:tcPr>
          <w:p w:rsidR="00000000" w:rsidDel="00000000" w:rsidP="00000000" w:rsidRDefault="00000000" w:rsidRPr="00000000" w14:paraId="00000019">
            <w:pPr>
              <w:pageBreakBefore w:val="0"/>
              <w:spacing w:after="0" w:line="240" w:lineRule="auto"/>
              <w:jc w:val="right"/>
              <w:rPr/>
            </w:pPr>
            <w:r w:rsidDel="00000000" w:rsidR="00000000" w:rsidRPr="00000000">
              <w:rPr>
                <w:rtl w:val="0"/>
              </w:rPr>
              <w:t xml:space="preserve">14092</w:t>
            </w:r>
          </w:p>
        </w:tc>
      </w:tr>
      <w:tr>
        <w:trPr>
          <w:cantSplit w:val="0"/>
          <w:trHeight w:val="380" w:hRule="atLeast"/>
          <w:tblHeader w:val="0"/>
        </w:trPr>
        <w:tc>
          <w:tcPr>
            <w:shd w:fill="auto" w:val="clear"/>
            <w:vAlign w:val="bottom"/>
          </w:tcPr>
          <w:p w:rsidR="00000000" w:rsidDel="00000000" w:rsidP="00000000" w:rsidRDefault="00000000" w:rsidRPr="00000000" w14:paraId="0000001A">
            <w:pPr>
              <w:pageBreakBefore w:val="0"/>
              <w:spacing w:after="0" w:line="240" w:lineRule="auto"/>
              <w:rPr/>
            </w:pPr>
            <w:r w:rsidDel="00000000" w:rsidR="00000000" w:rsidRPr="00000000">
              <w:rPr>
                <w:rtl w:val="0"/>
              </w:rPr>
              <w:t xml:space="preserve">Number of units required 2015-2031 (remaining 16 years) pa</w:t>
            </w:r>
          </w:p>
        </w:tc>
        <w:tc>
          <w:tcPr>
            <w:shd w:fill="auto" w:val="clear"/>
            <w:vAlign w:val="bottom"/>
          </w:tcPr>
          <w:p w:rsidR="00000000" w:rsidDel="00000000" w:rsidP="00000000" w:rsidRDefault="00000000" w:rsidRPr="00000000" w14:paraId="0000001B">
            <w:pPr>
              <w:pageBreakBefore w:val="0"/>
              <w:spacing w:after="0" w:line="240" w:lineRule="auto"/>
              <w:jc w:val="right"/>
              <w:rPr/>
            </w:pPr>
            <w:r w:rsidDel="00000000" w:rsidR="00000000" w:rsidRPr="00000000">
              <w:rPr>
                <w:rtl w:val="0"/>
              </w:rPr>
              <w:t xml:space="preserve">881</w:t>
            </w:r>
          </w:p>
        </w:tc>
      </w:tr>
      <w:tr>
        <w:trPr>
          <w:cantSplit w:val="0"/>
          <w:trHeight w:val="380" w:hRule="atLeast"/>
          <w:tblHeader w:val="0"/>
        </w:trPr>
        <w:tc>
          <w:tcPr>
            <w:shd w:fill="auto" w:val="clear"/>
            <w:vAlign w:val="bottom"/>
          </w:tcPr>
          <w:p w:rsidR="00000000" w:rsidDel="00000000" w:rsidP="00000000" w:rsidRDefault="00000000" w:rsidRPr="00000000" w14:paraId="0000001C">
            <w:pPr>
              <w:pageBreakBefore w:val="0"/>
              <w:spacing w:after="0" w:line="240" w:lineRule="auto"/>
              <w:rPr/>
            </w:pPr>
            <w:r w:rsidDel="00000000" w:rsidR="00000000" w:rsidRPr="00000000">
              <w:rPr>
                <w:rtl w:val="0"/>
              </w:rPr>
              <w:t xml:space="preserve">5 year Residual requirement 5x 881</w:t>
            </w:r>
          </w:p>
        </w:tc>
        <w:tc>
          <w:tcPr>
            <w:shd w:fill="auto" w:val="clear"/>
            <w:vAlign w:val="bottom"/>
          </w:tcPr>
          <w:p w:rsidR="00000000" w:rsidDel="00000000" w:rsidP="00000000" w:rsidRDefault="00000000" w:rsidRPr="00000000" w14:paraId="0000001D">
            <w:pPr>
              <w:pageBreakBefore w:val="0"/>
              <w:spacing w:after="0" w:line="240" w:lineRule="auto"/>
              <w:jc w:val="right"/>
              <w:rPr/>
            </w:pPr>
            <w:r w:rsidDel="00000000" w:rsidR="00000000" w:rsidRPr="00000000">
              <w:rPr>
                <w:rtl w:val="0"/>
              </w:rPr>
              <w:t xml:space="preserve">4404</w:t>
            </w:r>
          </w:p>
        </w:tc>
      </w:tr>
      <w:tr>
        <w:trPr>
          <w:cantSplit w:val="0"/>
          <w:trHeight w:val="380" w:hRule="atLeast"/>
          <w:tblHeader w:val="0"/>
        </w:trPr>
        <w:tc>
          <w:tcPr>
            <w:shd w:fill="auto" w:val="clear"/>
            <w:vAlign w:val="bottom"/>
          </w:tcPr>
          <w:p w:rsidR="00000000" w:rsidDel="00000000" w:rsidP="00000000" w:rsidRDefault="00000000" w:rsidRPr="00000000" w14:paraId="0000001E">
            <w:pPr>
              <w:pageBreakBefore w:val="0"/>
              <w:spacing w:after="0" w:line="240" w:lineRule="auto"/>
              <w:rPr/>
            </w:pPr>
            <w:r w:rsidDel="00000000" w:rsidR="00000000" w:rsidRPr="00000000">
              <w:rPr>
                <w:rtl w:val="0"/>
              </w:rPr>
              <w:t xml:space="preserve">5% buffer 4404 x5%</w:t>
            </w:r>
          </w:p>
        </w:tc>
        <w:tc>
          <w:tcPr>
            <w:shd w:fill="auto" w:val="clear"/>
            <w:vAlign w:val="bottom"/>
          </w:tcPr>
          <w:p w:rsidR="00000000" w:rsidDel="00000000" w:rsidP="00000000" w:rsidRDefault="00000000" w:rsidRPr="00000000" w14:paraId="0000001F">
            <w:pPr>
              <w:pageBreakBefore w:val="0"/>
              <w:spacing w:after="0" w:line="240" w:lineRule="auto"/>
              <w:jc w:val="right"/>
              <w:rPr/>
            </w:pPr>
            <w:r w:rsidDel="00000000" w:rsidR="00000000" w:rsidRPr="00000000">
              <w:rPr>
                <w:rtl w:val="0"/>
              </w:rPr>
              <w:t xml:space="preserve">220</w:t>
            </w:r>
          </w:p>
        </w:tc>
      </w:tr>
      <w:tr>
        <w:trPr>
          <w:cantSplit w:val="0"/>
          <w:trHeight w:val="380" w:hRule="atLeast"/>
          <w:tblHeader w:val="0"/>
        </w:trPr>
        <w:tc>
          <w:tcPr>
            <w:shd w:fill="auto" w:val="clear"/>
            <w:vAlign w:val="bottom"/>
          </w:tcPr>
          <w:p w:rsidR="00000000" w:rsidDel="00000000" w:rsidP="00000000" w:rsidRDefault="00000000" w:rsidRPr="00000000" w14:paraId="00000020">
            <w:pPr>
              <w:pageBreakBefore w:val="0"/>
              <w:spacing w:after="0" w:line="240" w:lineRule="auto"/>
              <w:rPr>
                <w:b w:val="1"/>
              </w:rPr>
            </w:pPr>
            <w:r w:rsidDel="00000000" w:rsidR="00000000" w:rsidRPr="00000000">
              <w:rPr>
                <w:b w:val="1"/>
                <w:rtl w:val="0"/>
              </w:rPr>
              <w:t xml:space="preserve">Residual requirement + 5 % buffer</w:t>
            </w:r>
          </w:p>
        </w:tc>
        <w:tc>
          <w:tcPr>
            <w:shd w:fill="auto" w:val="clear"/>
            <w:vAlign w:val="bottom"/>
          </w:tcPr>
          <w:p w:rsidR="00000000" w:rsidDel="00000000" w:rsidP="00000000" w:rsidRDefault="00000000" w:rsidRPr="00000000" w14:paraId="00000021">
            <w:pPr>
              <w:pageBreakBefore w:val="0"/>
              <w:spacing w:after="0" w:line="240" w:lineRule="auto"/>
              <w:jc w:val="right"/>
              <w:rPr>
                <w:b w:val="1"/>
              </w:rPr>
            </w:pPr>
            <w:r w:rsidDel="00000000" w:rsidR="00000000" w:rsidRPr="00000000">
              <w:rPr>
                <w:b w:val="1"/>
                <w:rtl w:val="0"/>
              </w:rPr>
              <w:t xml:space="preserve">4624</w:t>
            </w:r>
          </w:p>
        </w:tc>
      </w:tr>
      <w:tr>
        <w:trPr>
          <w:cantSplit w:val="0"/>
          <w:trHeight w:val="380" w:hRule="atLeast"/>
          <w:tblHeader w:val="0"/>
        </w:trPr>
        <w:tc>
          <w:tcPr>
            <w:shd w:fill="auto" w:val="clear"/>
            <w:vAlign w:val="bottom"/>
          </w:tcPr>
          <w:p w:rsidR="00000000" w:rsidDel="00000000" w:rsidP="00000000" w:rsidRDefault="00000000" w:rsidRPr="00000000" w14:paraId="00000022">
            <w:pPr>
              <w:pageBreakBefore w:val="0"/>
              <w:spacing w:after="0" w:line="240" w:lineRule="auto"/>
              <w:rPr/>
            </w:pPr>
            <w:r w:rsidDel="00000000" w:rsidR="00000000" w:rsidRPr="00000000">
              <w:rPr>
                <w:rtl w:val="0"/>
              </w:rPr>
              <w:t xml:space="preserve">Annual requirement including any shortfall + 5% buffer</w:t>
            </w:r>
          </w:p>
        </w:tc>
        <w:tc>
          <w:tcPr>
            <w:shd w:fill="auto" w:val="clear"/>
            <w:vAlign w:val="bottom"/>
          </w:tcPr>
          <w:p w:rsidR="00000000" w:rsidDel="00000000" w:rsidP="00000000" w:rsidRDefault="00000000" w:rsidRPr="00000000" w14:paraId="00000023">
            <w:pPr>
              <w:pageBreakBefore w:val="0"/>
              <w:spacing w:after="0" w:line="240" w:lineRule="auto"/>
              <w:jc w:val="right"/>
              <w:rPr/>
            </w:pPr>
            <w:r w:rsidDel="00000000" w:rsidR="00000000" w:rsidRPr="00000000">
              <w:rPr>
                <w:rtl w:val="0"/>
              </w:rPr>
              <w:t xml:space="preserve">925</w:t>
            </w:r>
          </w:p>
        </w:tc>
      </w:tr>
      <w:tr>
        <w:trPr>
          <w:cantSplit w:val="0"/>
          <w:trHeight w:val="380" w:hRule="atLeast"/>
          <w:tblHeader w:val="0"/>
        </w:trPr>
        <w:tc>
          <w:tcPr>
            <w:shd w:fill="auto" w:val="clear"/>
            <w:vAlign w:val="bottom"/>
          </w:tcPr>
          <w:p w:rsidR="00000000" w:rsidDel="00000000" w:rsidP="00000000" w:rsidRDefault="00000000" w:rsidRPr="00000000" w14:paraId="00000024">
            <w:pPr>
              <w:pageBreakBefore w:val="0"/>
              <w:spacing w:after="0" w:line="240" w:lineRule="auto"/>
              <w:rPr/>
            </w:pPr>
            <w:r w:rsidDel="00000000" w:rsidR="00000000" w:rsidRPr="00000000">
              <w:rPr>
                <w:rtl w:val="0"/>
              </w:rPr>
              <w:t xml:space="preserve"> </w:t>
            </w:r>
          </w:p>
        </w:tc>
        <w:tc>
          <w:tcPr>
            <w:shd w:fill="auto" w:val="clear"/>
            <w:vAlign w:val="bottom"/>
          </w:tcPr>
          <w:p w:rsidR="00000000" w:rsidDel="00000000" w:rsidP="00000000" w:rsidRDefault="00000000" w:rsidRPr="00000000" w14:paraId="00000025">
            <w:pPr>
              <w:pageBreakBefore w:val="0"/>
              <w:spacing w:after="0" w:line="240" w:lineRule="auto"/>
              <w:rPr/>
            </w:pPr>
            <w:r w:rsidDel="00000000" w:rsidR="00000000" w:rsidRPr="00000000">
              <w:rPr>
                <w:rtl w:val="0"/>
              </w:rPr>
              <w:t xml:space="preserve"> </w:t>
            </w:r>
          </w:p>
        </w:tc>
      </w:tr>
      <w:tr>
        <w:trPr>
          <w:cantSplit w:val="0"/>
          <w:trHeight w:val="380" w:hRule="atLeast"/>
          <w:tblHeader w:val="0"/>
        </w:trPr>
        <w:tc>
          <w:tcPr>
            <w:shd w:fill="auto" w:val="clear"/>
            <w:vAlign w:val="bottom"/>
          </w:tcPr>
          <w:p w:rsidR="00000000" w:rsidDel="00000000" w:rsidP="00000000" w:rsidRDefault="00000000" w:rsidRPr="00000000" w14:paraId="00000026">
            <w:pPr>
              <w:pageBreakBefore w:val="0"/>
              <w:spacing w:after="0" w:line="240" w:lineRule="auto"/>
              <w:rPr>
                <w:b w:val="1"/>
              </w:rPr>
            </w:pPr>
            <w:r w:rsidDel="00000000" w:rsidR="00000000" w:rsidRPr="00000000">
              <w:rPr>
                <w:b w:val="1"/>
                <w:rtl w:val="0"/>
              </w:rPr>
              <w:t xml:space="preserve">5 year supply 01/04/15 to 31/03/20</w:t>
            </w:r>
          </w:p>
        </w:tc>
        <w:tc>
          <w:tcPr>
            <w:shd w:fill="auto" w:val="clear"/>
            <w:vAlign w:val="bottom"/>
          </w:tcPr>
          <w:p w:rsidR="00000000" w:rsidDel="00000000" w:rsidP="00000000" w:rsidRDefault="00000000" w:rsidRPr="00000000" w14:paraId="00000027">
            <w:pPr>
              <w:pageBreakBefore w:val="0"/>
              <w:spacing w:after="0" w:line="240" w:lineRule="auto"/>
              <w:rPr/>
            </w:pPr>
            <w:r w:rsidDel="00000000" w:rsidR="00000000" w:rsidRPr="00000000">
              <w:rPr>
                <w:rtl w:val="0"/>
              </w:rPr>
              <w:t xml:space="preserve"> </w:t>
            </w:r>
          </w:p>
        </w:tc>
      </w:tr>
      <w:tr>
        <w:trPr>
          <w:cantSplit w:val="0"/>
          <w:trHeight w:val="380" w:hRule="atLeast"/>
          <w:tblHeader w:val="0"/>
        </w:trPr>
        <w:tc>
          <w:tcPr>
            <w:shd w:fill="auto" w:val="clear"/>
            <w:vAlign w:val="bottom"/>
          </w:tcPr>
          <w:p w:rsidR="00000000" w:rsidDel="00000000" w:rsidP="00000000" w:rsidRDefault="00000000" w:rsidRPr="00000000" w14:paraId="00000028">
            <w:pPr>
              <w:pageBreakBefore w:val="0"/>
              <w:spacing w:after="0" w:line="240" w:lineRule="auto"/>
              <w:rPr/>
            </w:pPr>
            <w:r w:rsidDel="00000000" w:rsidR="00000000" w:rsidRPr="00000000">
              <w:rPr>
                <w:rtl w:val="0"/>
              </w:rPr>
              <w:t xml:space="preserve">Strategic and other new allocations</w:t>
            </w:r>
          </w:p>
        </w:tc>
        <w:tc>
          <w:tcPr>
            <w:shd w:fill="auto" w:val="clear"/>
            <w:vAlign w:val="bottom"/>
          </w:tcPr>
          <w:p w:rsidR="00000000" w:rsidDel="00000000" w:rsidP="00000000" w:rsidRDefault="00000000" w:rsidRPr="00000000" w14:paraId="00000029">
            <w:pPr>
              <w:pageBreakBefore w:val="0"/>
              <w:spacing w:after="0" w:line="240" w:lineRule="auto"/>
              <w:jc w:val="right"/>
              <w:rPr/>
            </w:pPr>
            <w:r w:rsidDel="00000000" w:rsidR="00000000" w:rsidRPr="00000000">
              <w:rPr>
                <w:rtl w:val="0"/>
              </w:rPr>
              <w:t xml:space="preserve">3270</w:t>
            </w:r>
          </w:p>
        </w:tc>
      </w:tr>
      <w:tr>
        <w:trPr>
          <w:cantSplit w:val="0"/>
          <w:trHeight w:val="380" w:hRule="atLeast"/>
          <w:tblHeader w:val="0"/>
        </w:trPr>
        <w:tc>
          <w:tcPr>
            <w:shd w:fill="auto" w:val="clear"/>
            <w:vAlign w:val="bottom"/>
          </w:tcPr>
          <w:p w:rsidR="00000000" w:rsidDel="00000000" w:rsidP="00000000" w:rsidRDefault="00000000" w:rsidRPr="00000000" w14:paraId="0000002A">
            <w:pPr>
              <w:pageBreakBefore w:val="0"/>
              <w:spacing w:after="0" w:line="240" w:lineRule="auto"/>
              <w:rPr/>
            </w:pPr>
            <w:r w:rsidDel="00000000" w:rsidR="00000000" w:rsidRPr="00000000">
              <w:rPr>
                <w:rtl w:val="0"/>
              </w:rPr>
              <w:t xml:space="preserve">Existing allocations</w:t>
            </w:r>
          </w:p>
        </w:tc>
        <w:tc>
          <w:tcPr>
            <w:shd w:fill="auto" w:val="clear"/>
            <w:vAlign w:val="bottom"/>
          </w:tcPr>
          <w:p w:rsidR="00000000" w:rsidDel="00000000" w:rsidP="00000000" w:rsidRDefault="00000000" w:rsidRPr="00000000" w14:paraId="0000002B">
            <w:pPr>
              <w:pageBreakBefore w:val="0"/>
              <w:spacing w:after="0" w:line="240" w:lineRule="auto"/>
              <w:jc w:val="right"/>
              <w:rPr/>
            </w:pPr>
            <w:r w:rsidDel="00000000" w:rsidR="00000000" w:rsidRPr="00000000">
              <w:rPr>
                <w:strike w:val="1"/>
                <w:rtl w:val="0"/>
              </w:rPr>
              <w:t xml:space="preserve">208</w:t>
            </w:r>
            <w:r w:rsidDel="00000000" w:rsidR="00000000" w:rsidRPr="00000000">
              <w:rPr>
                <w:rtl w:val="0"/>
              </w:rPr>
              <w:t xml:space="preserve"> </w:t>
            </w:r>
          </w:p>
          <w:p w:rsidR="00000000" w:rsidDel="00000000" w:rsidP="00000000" w:rsidRDefault="00000000" w:rsidRPr="00000000" w14:paraId="0000002C">
            <w:pPr>
              <w:pageBreakBefore w:val="0"/>
              <w:spacing w:after="0" w:line="240" w:lineRule="auto"/>
              <w:jc w:val="right"/>
              <w:rPr>
                <w:strike w:val="1"/>
              </w:rPr>
            </w:pPr>
            <w:r w:rsidDel="00000000" w:rsidR="00000000" w:rsidRPr="00000000">
              <w:rPr>
                <w:u w:val="single"/>
                <w:rtl w:val="0"/>
              </w:rPr>
              <w:t xml:space="preserve">298</w:t>
            </w:r>
            <w:r w:rsidDel="00000000" w:rsidR="00000000" w:rsidRPr="00000000">
              <w:rPr>
                <w:rtl w:val="0"/>
              </w:rPr>
            </w:r>
          </w:p>
        </w:tc>
      </w:tr>
      <w:tr>
        <w:trPr>
          <w:cantSplit w:val="0"/>
          <w:trHeight w:val="380" w:hRule="atLeast"/>
          <w:tblHeader w:val="0"/>
        </w:trPr>
        <w:tc>
          <w:tcPr>
            <w:shd w:fill="auto" w:val="clear"/>
            <w:vAlign w:val="bottom"/>
          </w:tcPr>
          <w:p w:rsidR="00000000" w:rsidDel="00000000" w:rsidP="00000000" w:rsidRDefault="00000000" w:rsidRPr="00000000" w14:paraId="0000002D">
            <w:pPr>
              <w:pageBreakBefore w:val="0"/>
              <w:spacing w:after="0" w:line="240" w:lineRule="auto"/>
              <w:rPr/>
            </w:pPr>
            <w:r w:rsidDel="00000000" w:rsidR="00000000" w:rsidRPr="00000000">
              <w:rPr>
                <w:rtl w:val="0"/>
              </w:rPr>
              <w:t xml:space="preserve">Planning permissions up to 31/03/15</w:t>
            </w:r>
          </w:p>
        </w:tc>
        <w:tc>
          <w:tcPr>
            <w:shd w:fill="auto" w:val="clear"/>
            <w:vAlign w:val="bottom"/>
          </w:tcPr>
          <w:p w:rsidR="00000000" w:rsidDel="00000000" w:rsidP="00000000" w:rsidRDefault="00000000" w:rsidRPr="00000000" w14:paraId="0000002E">
            <w:pPr>
              <w:pageBreakBefore w:val="0"/>
              <w:spacing w:after="0" w:line="240" w:lineRule="auto"/>
              <w:jc w:val="right"/>
              <w:rPr/>
            </w:pPr>
            <w:r w:rsidDel="00000000" w:rsidR="00000000" w:rsidRPr="00000000">
              <w:rPr>
                <w:rtl w:val="0"/>
              </w:rPr>
              <w:t xml:space="preserve">1126</w:t>
            </w:r>
          </w:p>
        </w:tc>
      </w:tr>
      <w:tr>
        <w:trPr>
          <w:cantSplit w:val="0"/>
          <w:trHeight w:val="380" w:hRule="atLeast"/>
          <w:tblHeader w:val="0"/>
        </w:trPr>
        <w:tc>
          <w:tcPr>
            <w:shd w:fill="auto" w:val="clear"/>
            <w:vAlign w:val="bottom"/>
          </w:tcPr>
          <w:p w:rsidR="00000000" w:rsidDel="00000000" w:rsidP="00000000" w:rsidRDefault="00000000" w:rsidRPr="00000000" w14:paraId="0000002F">
            <w:pPr>
              <w:pageBreakBefore w:val="0"/>
              <w:spacing w:after="0" w:line="240" w:lineRule="auto"/>
              <w:rPr/>
            </w:pPr>
            <w:r w:rsidDel="00000000" w:rsidR="00000000" w:rsidRPr="00000000">
              <w:rPr>
                <w:rtl w:val="0"/>
              </w:rPr>
              <w:t xml:space="preserve">Potential new allocations (proposed amendments)</w:t>
            </w:r>
          </w:p>
        </w:tc>
        <w:tc>
          <w:tcPr>
            <w:shd w:fill="auto" w:val="clear"/>
            <w:vAlign w:val="bottom"/>
          </w:tcPr>
          <w:p w:rsidR="00000000" w:rsidDel="00000000" w:rsidP="00000000" w:rsidRDefault="00000000" w:rsidRPr="00000000" w14:paraId="00000030">
            <w:pPr>
              <w:pageBreakBefore w:val="0"/>
              <w:spacing w:after="0" w:line="240" w:lineRule="auto"/>
              <w:jc w:val="right"/>
              <w:rPr/>
            </w:pPr>
            <w:r w:rsidDel="00000000" w:rsidR="00000000" w:rsidRPr="00000000">
              <w:rPr>
                <w:rtl w:val="0"/>
              </w:rPr>
              <w:t xml:space="preserve">336</w:t>
            </w:r>
          </w:p>
        </w:tc>
      </w:tr>
      <w:tr>
        <w:trPr>
          <w:cantSplit w:val="0"/>
          <w:trHeight w:val="380" w:hRule="atLeast"/>
          <w:tblHeader w:val="0"/>
        </w:trPr>
        <w:tc>
          <w:tcPr>
            <w:shd w:fill="auto" w:val="clear"/>
            <w:vAlign w:val="bottom"/>
          </w:tcPr>
          <w:p w:rsidR="00000000" w:rsidDel="00000000" w:rsidP="00000000" w:rsidRDefault="00000000" w:rsidRPr="00000000" w14:paraId="00000031">
            <w:pPr>
              <w:pageBreakBefore w:val="0"/>
              <w:spacing w:after="0" w:line="240" w:lineRule="auto"/>
              <w:rPr>
                <w:b w:val="1"/>
              </w:rPr>
            </w:pPr>
            <w:r w:rsidDel="00000000" w:rsidR="00000000" w:rsidRPr="00000000">
              <w:rPr>
                <w:b w:val="1"/>
                <w:rtl w:val="0"/>
              </w:rPr>
              <w:t xml:space="preserve">Total 5 year supply</w:t>
            </w:r>
          </w:p>
        </w:tc>
        <w:tc>
          <w:tcPr>
            <w:shd w:fill="auto" w:val="clear"/>
            <w:vAlign w:val="bottom"/>
          </w:tcPr>
          <w:p w:rsidR="00000000" w:rsidDel="00000000" w:rsidP="00000000" w:rsidRDefault="00000000" w:rsidRPr="00000000" w14:paraId="00000032">
            <w:pPr>
              <w:pageBreakBefore w:val="0"/>
              <w:spacing w:after="0" w:line="240" w:lineRule="auto"/>
              <w:jc w:val="right"/>
              <w:rPr>
                <w:b w:val="1"/>
                <w:u w:val="single"/>
              </w:rPr>
            </w:pPr>
            <w:r w:rsidDel="00000000" w:rsidR="00000000" w:rsidRPr="00000000">
              <w:rPr>
                <w:b w:val="1"/>
                <w:strike w:val="1"/>
                <w:rtl w:val="0"/>
              </w:rPr>
              <w:t xml:space="preserve">4940 </w:t>
            </w:r>
            <w:r w:rsidDel="00000000" w:rsidR="00000000" w:rsidRPr="00000000">
              <w:rPr>
                <w:b w:val="1"/>
                <w:u w:val="single"/>
                <w:rtl w:val="0"/>
              </w:rPr>
              <w:t xml:space="preserve">5030</w:t>
            </w:r>
          </w:p>
        </w:tc>
      </w:tr>
      <w:tr>
        <w:trPr>
          <w:cantSplit w:val="0"/>
          <w:trHeight w:val="380" w:hRule="atLeast"/>
          <w:tblHeader w:val="0"/>
        </w:trPr>
        <w:tc>
          <w:tcPr>
            <w:shd w:fill="auto" w:val="clear"/>
            <w:vAlign w:val="bottom"/>
          </w:tcPr>
          <w:p w:rsidR="00000000" w:rsidDel="00000000" w:rsidP="00000000" w:rsidRDefault="00000000" w:rsidRPr="00000000" w14:paraId="00000033">
            <w:pPr>
              <w:pageBreakBefore w:val="0"/>
              <w:spacing w:after="0" w:line="240" w:lineRule="auto"/>
              <w:rPr/>
            </w:pPr>
            <w:r w:rsidDel="00000000" w:rsidR="00000000" w:rsidRPr="00000000">
              <w:rPr>
                <w:rtl w:val="0"/>
              </w:rPr>
              <w:t xml:space="preserve">Windfall allowance of 138 units pa 138x2</w:t>
            </w:r>
          </w:p>
        </w:tc>
        <w:tc>
          <w:tcPr>
            <w:shd w:fill="auto" w:val="clear"/>
            <w:vAlign w:val="bottom"/>
          </w:tcPr>
          <w:p w:rsidR="00000000" w:rsidDel="00000000" w:rsidP="00000000" w:rsidRDefault="00000000" w:rsidRPr="00000000" w14:paraId="00000034">
            <w:pPr>
              <w:pageBreakBefore w:val="0"/>
              <w:spacing w:after="0" w:line="240" w:lineRule="auto"/>
              <w:jc w:val="right"/>
              <w:rPr/>
            </w:pPr>
            <w:r w:rsidDel="00000000" w:rsidR="00000000" w:rsidRPr="00000000">
              <w:rPr>
                <w:rtl w:val="0"/>
              </w:rPr>
              <w:t xml:space="preserve">276</w:t>
            </w:r>
          </w:p>
        </w:tc>
      </w:tr>
      <w:tr>
        <w:trPr>
          <w:cantSplit w:val="0"/>
          <w:trHeight w:val="380" w:hRule="atLeast"/>
          <w:tblHeader w:val="0"/>
        </w:trPr>
        <w:tc>
          <w:tcPr>
            <w:tcBorders>
              <w:bottom w:color="000000" w:space="0" w:sz="4" w:val="single"/>
            </w:tcBorders>
            <w:shd w:fill="auto" w:val="clear"/>
            <w:vAlign w:val="bottom"/>
          </w:tcPr>
          <w:p w:rsidR="00000000" w:rsidDel="00000000" w:rsidP="00000000" w:rsidRDefault="00000000" w:rsidRPr="00000000" w14:paraId="00000035">
            <w:pPr>
              <w:pageBreakBefore w:val="0"/>
              <w:spacing w:after="0" w:line="240" w:lineRule="auto"/>
              <w:rPr/>
            </w:pPr>
            <w:r w:rsidDel="00000000" w:rsidR="00000000" w:rsidRPr="00000000">
              <w:rPr>
                <w:rtl w:val="0"/>
              </w:rPr>
              <w:t xml:space="preserve"> </w:t>
            </w:r>
          </w:p>
        </w:tc>
        <w:tc>
          <w:tcPr>
            <w:tcBorders>
              <w:bottom w:color="000000" w:space="0" w:sz="4" w:val="single"/>
            </w:tcBorders>
            <w:shd w:fill="auto" w:val="clear"/>
            <w:vAlign w:val="bottom"/>
          </w:tcPr>
          <w:p w:rsidR="00000000" w:rsidDel="00000000" w:rsidP="00000000" w:rsidRDefault="00000000" w:rsidRPr="00000000" w14:paraId="00000036">
            <w:pPr>
              <w:pageBreakBefore w:val="0"/>
              <w:spacing w:after="0" w:line="240" w:lineRule="auto"/>
              <w:rPr/>
            </w:pPr>
            <w:r w:rsidDel="00000000" w:rsidR="00000000" w:rsidRPr="00000000">
              <w:rPr>
                <w:rtl w:val="0"/>
              </w:rPr>
              <w:t xml:space="preserve"> </w:t>
            </w:r>
          </w:p>
        </w:tc>
      </w:tr>
      <w:tr>
        <w:trPr>
          <w:cantSplit w:val="0"/>
          <w:trHeight w:val="380" w:hRule="atLeast"/>
          <w:tblHeader w:val="0"/>
        </w:trPr>
        <w:tc>
          <w:tcPr>
            <w:shd w:fill="auto" w:val="clear"/>
            <w:vAlign w:val="bottom"/>
          </w:tcPr>
          <w:p w:rsidR="00000000" w:rsidDel="00000000" w:rsidP="00000000" w:rsidRDefault="00000000" w:rsidRPr="00000000" w14:paraId="00000037">
            <w:pPr>
              <w:pageBreakBefore w:val="0"/>
              <w:spacing w:after="0" w:line="240" w:lineRule="auto"/>
              <w:rPr>
                <w:b w:val="1"/>
              </w:rPr>
            </w:pPr>
            <w:r w:rsidDel="00000000" w:rsidR="00000000" w:rsidRPr="00000000">
              <w:rPr>
                <w:b w:val="1"/>
                <w:rtl w:val="0"/>
              </w:rPr>
              <w:t xml:space="preserve">Total Supply</w:t>
            </w:r>
          </w:p>
        </w:tc>
        <w:tc>
          <w:tcPr>
            <w:shd w:fill="auto" w:val="clear"/>
            <w:vAlign w:val="bottom"/>
          </w:tcPr>
          <w:p w:rsidR="00000000" w:rsidDel="00000000" w:rsidP="00000000" w:rsidRDefault="00000000" w:rsidRPr="00000000" w14:paraId="00000038">
            <w:pPr>
              <w:pageBreakBefore w:val="0"/>
              <w:spacing w:after="0" w:line="240" w:lineRule="auto"/>
              <w:jc w:val="right"/>
              <w:rPr>
                <w:b w:val="1"/>
                <w:strike w:val="1"/>
              </w:rPr>
            </w:pPr>
            <w:r w:rsidDel="00000000" w:rsidR="00000000" w:rsidRPr="00000000">
              <w:rPr>
                <w:b w:val="1"/>
                <w:strike w:val="1"/>
                <w:rtl w:val="0"/>
              </w:rPr>
              <w:t xml:space="preserve">5216</w:t>
            </w:r>
          </w:p>
          <w:p w:rsidR="00000000" w:rsidDel="00000000" w:rsidP="00000000" w:rsidRDefault="00000000" w:rsidRPr="00000000" w14:paraId="00000039">
            <w:pPr>
              <w:pageBreakBefore w:val="0"/>
              <w:spacing w:after="0" w:line="240" w:lineRule="auto"/>
              <w:jc w:val="right"/>
              <w:rPr>
                <w:b w:val="1"/>
                <w:u w:val="single"/>
              </w:rPr>
            </w:pPr>
            <w:r w:rsidDel="00000000" w:rsidR="00000000" w:rsidRPr="00000000">
              <w:rPr>
                <w:b w:val="1"/>
                <w:u w:val="single"/>
                <w:rtl w:val="0"/>
              </w:rPr>
              <w:t xml:space="preserve">5306</w:t>
            </w:r>
          </w:p>
        </w:tc>
      </w:tr>
      <w:tr>
        <w:trPr>
          <w:cantSplit w:val="0"/>
          <w:trHeight w:val="380" w:hRule="atLeast"/>
          <w:tblHeader w:val="0"/>
        </w:trPr>
        <w:tc>
          <w:tcPr>
            <w:shd w:fill="auto" w:val="clear"/>
            <w:vAlign w:val="bottom"/>
          </w:tcPr>
          <w:p w:rsidR="00000000" w:rsidDel="00000000" w:rsidP="00000000" w:rsidRDefault="00000000" w:rsidRPr="00000000" w14:paraId="0000003A">
            <w:pPr>
              <w:pageBreakBefore w:val="0"/>
              <w:spacing w:after="0" w:line="240" w:lineRule="auto"/>
              <w:rPr>
                <w:b w:val="1"/>
              </w:rPr>
            </w:pPr>
            <w:r w:rsidDel="00000000" w:rsidR="00000000" w:rsidRPr="00000000">
              <w:rPr>
                <w:b w:val="1"/>
                <w:rtl w:val="0"/>
              </w:rPr>
              <w:t xml:space="preserve">Surplus </w:t>
            </w:r>
          </w:p>
        </w:tc>
        <w:tc>
          <w:tcPr>
            <w:shd w:fill="auto" w:val="clear"/>
            <w:vAlign w:val="bottom"/>
          </w:tcPr>
          <w:p w:rsidR="00000000" w:rsidDel="00000000" w:rsidP="00000000" w:rsidRDefault="00000000" w:rsidRPr="00000000" w14:paraId="0000003B">
            <w:pPr>
              <w:pageBreakBefore w:val="0"/>
              <w:spacing w:after="0" w:line="240" w:lineRule="auto"/>
              <w:jc w:val="right"/>
              <w:rPr>
                <w:b w:val="1"/>
                <w:strike w:val="1"/>
              </w:rPr>
            </w:pPr>
            <w:r w:rsidDel="00000000" w:rsidR="00000000" w:rsidRPr="00000000">
              <w:rPr>
                <w:b w:val="1"/>
                <w:strike w:val="1"/>
                <w:rtl w:val="0"/>
              </w:rPr>
              <w:t xml:space="preserve">592</w:t>
            </w:r>
          </w:p>
          <w:p w:rsidR="00000000" w:rsidDel="00000000" w:rsidP="00000000" w:rsidRDefault="00000000" w:rsidRPr="00000000" w14:paraId="0000003C">
            <w:pPr>
              <w:pageBreakBefore w:val="0"/>
              <w:spacing w:after="0" w:line="240" w:lineRule="auto"/>
              <w:jc w:val="right"/>
              <w:rPr>
                <w:b w:val="1"/>
                <w:u w:val="single"/>
              </w:rPr>
            </w:pPr>
            <w:r w:rsidDel="00000000" w:rsidR="00000000" w:rsidRPr="00000000">
              <w:rPr>
                <w:b w:val="1"/>
                <w:u w:val="single"/>
                <w:rtl w:val="0"/>
              </w:rPr>
              <w:t xml:space="preserve">682</w:t>
            </w:r>
          </w:p>
        </w:tc>
      </w:tr>
      <w:tr>
        <w:trPr>
          <w:cantSplit w:val="0"/>
          <w:trHeight w:val="420"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3D">
            <w:pPr>
              <w:pageBreakBefore w:val="0"/>
              <w:spacing w:after="0" w:line="240" w:lineRule="auto"/>
              <w:rPr>
                <w:b w:val="1"/>
              </w:rPr>
            </w:pPr>
            <w:r w:rsidDel="00000000" w:rsidR="00000000" w:rsidRPr="00000000">
              <w:rPr>
                <w:b w:val="1"/>
                <w:rtl w:val="0"/>
              </w:rPr>
              <w:t xml:space="preserve">District wide 5 year supply</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3E">
            <w:pPr>
              <w:pageBreakBefore w:val="0"/>
              <w:spacing w:after="0" w:line="240" w:lineRule="auto"/>
              <w:jc w:val="right"/>
              <w:rPr>
                <w:b w:val="1"/>
                <w:strike w:val="1"/>
              </w:rPr>
            </w:pPr>
            <w:r w:rsidDel="00000000" w:rsidR="00000000" w:rsidRPr="00000000">
              <w:rPr>
                <w:b w:val="1"/>
                <w:strike w:val="1"/>
                <w:rtl w:val="0"/>
              </w:rPr>
              <w:t xml:space="preserve">5.64</w:t>
            </w:r>
          </w:p>
          <w:p w:rsidR="00000000" w:rsidDel="00000000" w:rsidP="00000000" w:rsidRDefault="00000000" w:rsidRPr="00000000" w14:paraId="0000003F">
            <w:pPr>
              <w:pageBreakBefore w:val="0"/>
              <w:spacing w:after="0" w:line="240" w:lineRule="auto"/>
              <w:jc w:val="right"/>
              <w:rPr>
                <w:b w:val="1"/>
                <w:u w:val="single"/>
              </w:rPr>
            </w:pPr>
            <w:r w:rsidDel="00000000" w:rsidR="00000000" w:rsidRPr="00000000">
              <w:rPr>
                <w:b w:val="1"/>
                <w:u w:val="single"/>
                <w:rtl w:val="0"/>
              </w:rPr>
              <w:t xml:space="preserve">5.74</w:t>
            </w:r>
          </w:p>
        </w:tc>
      </w:tr>
    </w:tbl>
    <w:p w:rsidR="00000000" w:rsidDel="00000000" w:rsidP="00000000" w:rsidRDefault="00000000" w:rsidRPr="00000000" w14:paraId="00000040">
      <w:pPr>
        <w:pageBreakBefore w:val="0"/>
        <w:rPr/>
      </w:pPr>
      <w:r w:rsidDel="00000000" w:rsidR="00000000" w:rsidRPr="00000000">
        <w:rPr>
          <w:rtl w:val="0"/>
        </w:rPr>
      </w:r>
    </w:p>
    <w:sectPr>
      <w:pgSz w:h="16838" w:w="11906" w:orient="portrait"/>
      <w:pgMar w:bottom="1440" w:top="851"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GB"/>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