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pPr>
      <w:bookmarkStart w:colFirst="0" w:colLast="0" w:name="_gjdgxs" w:id="0"/>
      <w:bookmarkEnd w:id="0"/>
      <w:r w:rsidDel="00000000" w:rsidR="00000000" w:rsidRPr="00000000">
        <w:rPr>
          <w:rtl w:val="0"/>
        </w:rPr>
        <w:tab/>
        <w:t xml:space="preserve">Date:</w:t>
        <w:tab/>
        <w:t xml:space="preserve">14 June 2016</w:t>
      </w:r>
      <w:r w:rsidDel="00000000" w:rsidR="00000000" w:rsidRPr="00000000">
        <w:drawing>
          <wp:anchor allowOverlap="1" behindDoc="0" distB="0" distT="0" distL="0" distR="0" hidden="0" layoutInCell="1" locked="0" relativeHeight="0" simplePos="0">
            <wp:simplePos x="0" y="0"/>
            <wp:positionH relativeFrom="column">
              <wp:posOffset>4980305</wp:posOffset>
            </wp:positionH>
            <wp:positionV relativeFrom="paragraph">
              <wp:posOffset>-897887</wp:posOffset>
            </wp:positionV>
            <wp:extent cx="1679575" cy="1943100"/>
            <wp:effectExtent b="0" l="0" r="0" t="0"/>
            <wp:wrapSquare wrapText="bothSides" distB="0" distT="0" distL="0" distR="0"/>
            <wp:docPr descr="curv, wording and logos copy" id="1" name="image2.jpg"/>
            <a:graphic>
              <a:graphicData uri="http://schemas.openxmlformats.org/drawingml/2006/picture">
                <pic:pic>
                  <pic:nvPicPr>
                    <pic:cNvPr descr="curv, wording and logos copy" id="0" name="image2.jpg"/>
                    <pic:cNvPicPr preferRelativeResize="0"/>
                  </pic:nvPicPr>
                  <pic:blipFill>
                    <a:blip r:embed="rId7"/>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5643245</wp:posOffset>
            </wp:positionH>
            <wp:positionV relativeFrom="paragraph">
              <wp:posOffset>6639560</wp:posOffset>
            </wp:positionV>
            <wp:extent cx="1264285" cy="1714500"/>
            <wp:effectExtent b="0" l="0" r="0" t="0"/>
            <wp:wrapSquare wrapText="bothSides" distB="0" distT="0" distL="0" distR="0"/>
            <wp:docPr descr="curv, wording and logos copy" id="3" name="image1.jpg"/>
            <a:graphic>
              <a:graphicData uri="http://schemas.openxmlformats.org/drawingml/2006/picture">
                <pic:pic>
                  <pic:nvPicPr>
                    <pic:cNvPr descr="curv, wording and logos copy" id="0" name="image1.jpg"/>
                    <pic:cNvPicPr preferRelativeResize="0"/>
                  </pic:nvPicPr>
                  <pic:blipFill>
                    <a:blip r:embed="rId8"/>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-900427</wp:posOffset>
            </wp:positionH>
            <wp:positionV relativeFrom="paragraph">
              <wp:posOffset>8475345</wp:posOffset>
            </wp:positionV>
            <wp:extent cx="7560310" cy="1338580"/>
            <wp:effectExtent b="0" l="0" r="0" t="0"/>
            <wp:wrapSquare wrapText="bothSides" distB="0" distT="0" distL="0" distR="0"/>
            <wp:docPr descr="curv, wording and logos copy" id="2" name="image2.jpg"/>
            <a:graphic>
              <a:graphicData uri="http://schemas.openxmlformats.org/drawingml/2006/picture">
                <pic:pic>
                  <pic:nvPicPr>
                    <pic:cNvPr descr="curv, wording and logos copy" id="0" name="image2.jpg"/>
                    <pic:cNvPicPr preferRelativeResize="0"/>
                  </pic:nvPicPr>
                  <pic:blipFill>
                    <a:blip r:embed="rId7"/>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pPr>
      <w:r w:rsidDel="00000000" w:rsidR="00000000" w:rsidRPr="00000000">
        <w:rPr>
          <w:rtl w:val="0"/>
        </w:rPr>
        <w:tab/>
        <w:t xml:space="preserve">Ask for:</w:t>
        <w:tab/>
      </w:r>
      <w:r w:rsidDel="00000000" w:rsidR="00000000" w:rsidRPr="00000000">
        <w:rPr>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pPr>
      <w:r w:rsidDel="00000000" w:rsidR="00000000" w:rsidRPr="00000000">
        <w:rPr>
          <w:rtl w:val="0"/>
        </w:rPr>
        <w:tab/>
        <w:t xml:space="preserve">Direct dial:</w:t>
      </w:r>
      <w:r w:rsidDel="00000000" w:rsidR="00000000" w:rsidRPr="00000000">
        <w:rPr>
          <w:b w:val="1"/>
          <w:rtl w:val="0"/>
        </w:rPr>
        <w:tab/>
      </w:r>
      <w:r w:rsidDel="00000000" w:rsidR="00000000" w:rsidRPr="00000000">
        <w:rPr>
          <w:rtl w:val="0"/>
        </w:rPr>
        <w:t xml:space="preserve">01227 </w:t>
      </w:r>
      <w:r w:rsidDel="00000000" w:rsidR="00000000" w:rsidRPr="00000000">
        <w:rPr>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pPr>
      <w:r w:rsidDel="00000000" w:rsidR="00000000" w:rsidRPr="00000000">
        <w:rPr>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pPr>
      <w:r w:rsidDel="00000000" w:rsidR="00000000" w:rsidRPr="00000000">
        <w:rPr>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pPr>
      <w:r w:rsidDel="00000000" w:rsidR="00000000" w:rsidRPr="00000000">
        <w:rPr>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pPr>
      <w:r w:rsidDel="00000000" w:rsidR="00000000" w:rsidRPr="00000000">
        <w:rPr>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pPr>
      <w:r w:rsidDel="00000000" w:rsidR="00000000" w:rsidRPr="00000000">
        <w:rPr>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pPr>
      <w:r w:rsidDel="00000000" w:rsidR="00000000" w:rsidRPr="00000000">
        <w:rPr>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pPr>
      <w:r w:rsidDel="00000000" w:rsidR="00000000" w:rsidRPr="00000000">
        <w:rPr>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pPr>
      <w:r w:rsidDel="00000000" w:rsidR="00000000" w:rsidRPr="00000000">
        <w:rPr>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pPr>
      <w:r w:rsidDel="00000000" w:rsidR="00000000" w:rsidRPr="00000000">
        <w:rPr>
          <w:rtl w:val="0"/>
        </w:rPr>
        <w:t xml:space="preserve">BS1 6PN</w:t>
      </w:r>
    </w:p>
    <w:p w:rsidR="00000000" w:rsidDel="00000000" w:rsidP="00000000" w:rsidRDefault="00000000" w:rsidRPr="00000000" w14:paraId="00000011">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pPr>
      <w:r w:rsidDel="00000000" w:rsidR="00000000" w:rsidRPr="00000000">
        <w:rPr>
          <w:rtl w:val="0"/>
        </w:rPr>
        <w:t xml:space="preserve">Dear Mr Moore</w:t>
      </w:r>
    </w:p>
    <w:p w:rsidR="00000000" w:rsidDel="00000000" w:rsidP="00000000" w:rsidRDefault="00000000" w:rsidRPr="00000000" w14:paraId="00000014">
      <w:pPr>
        <w:pageBreakBefore w:val="0"/>
        <w:tabs>
          <w:tab w:val="left" w:leader="none" w:pos="1043"/>
        </w:tabs>
        <w:jc w:val="both"/>
        <w:rPr/>
      </w:pPr>
      <w:r w:rsidDel="00000000" w:rsidR="00000000" w:rsidRPr="00000000">
        <w:rPr>
          <w:rtl w:val="0"/>
        </w:rPr>
      </w:r>
    </w:p>
    <w:p w:rsidR="00000000" w:rsidDel="00000000" w:rsidP="00000000" w:rsidRDefault="00000000" w:rsidRPr="00000000" w14:paraId="00000015">
      <w:pPr>
        <w:pageBreakBefore w:val="0"/>
        <w:jc w:val="both"/>
        <w:rPr>
          <w:b w:val="1"/>
        </w:rPr>
      </w:pPr>
      <w:r w:rsidDel="00000000" w:rsidR="00000000" w:rsidRPr="00000000">
        <w:rPr>
          <w:b w:val="1"/>
          <w:rtl w:val="0"/>
        </w:rPr>
        <w:t xml:space="preserve">Population Projections</w:t>
      </w:r>
    </w:p>
    <w:p w:rsidR="00000000" w:rsidDel="00000000" w:rsidP="00000000" w:rsidRDefault="00000000" w:rsidRPr="00000000" w14:paraId="00000016">
      <w:pPr>
        <w:pageBreakBefore w:val="0"/>
        <w:jc w:val="both"/>
        <w:rPr>
          <w:b w:val="1"/>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t xml:space="preserve">I write with respect to the new 2014-based Sub-National Population Projections.  </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t xml:space="preserve">You requested, via the Programme Officer on 27 May 2016, that we provide you with a table of the 2014-based Population Projections alongside the previously published 2012-based Population Projections for the District, accompanied by brief commentary on our view as to any implications the new projections may have for the Local Plan.  </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I attach our response overleaf.</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t xml:space="preserve">Should you require any further assistance, please do not hesitate to contact me.</w:t>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Yours sincerely</w:t>
      </w:r>
    </w:p>
    <w:p w:rsidR="00000000" w:rsidDel="00000000" w:rsidP="00000000" w:rsidRDefault="00000000" w:rsidRPr="00000000" w14:paraId="00000020">
      <w:pPr>
        <w:pageBreakBefore w:val="0"/>
        <w:rPr>
          <w:i w:val="1"/>
        </w:rPr>
      </w:pPr>
      <w:r w:rsidDel="00000000" w:rsidR="00000000" w:rsidRPr="00000000">
        <w:rPr>
          <w:i w:val="1"/>
          <w:rtl w:val="0"/>
        </w:rPr>
        <w:t xml:space="preserve">Karen Britton</w:t>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tl w:val="0"/>
        </w:rPr>
        <w:t xml:space="preserve">Planning Policy Manager</w:t>
      </w:r>
      <w:r w:rsidDel="00000000" w:rsidR="00000000" w:rsidRPr="00000000">
        <w:rPr>
          <w:rFonts w:ascii="Calibri" w:cs="Calibri" w:eastAsia="Calibri" w:hAnsi="Calibri"/>
          <w:rtl w:val="0"/>
        </w:rPr>
        <w:br w:type="textWrapping"/>
      </w:r>
    </w:p>
    <w:p w:rsidR="00000000" w:rsidDel="00000000" w:rsidP="00000000" w:rsidRDefault="00000000" w:rsidRPr="00000000" w14:paraId="00000022">
      <w:pPr>
        <w:pageBreakBefore w:val="0"/>
        <w:rPr>
          <w:rFonts w:ascii="Calibri" w:cs="Calibri" w:eastAsia="Calibri" w:hAnsi="Calibri"/>
        </w:rPr>
      </w:pPr>
      <w:r w:rsidDel="00000000" w:rsidR="00000000" w:rsidRPr="00000000">
        <w:br w:type="page"/>
      </w:r>
      <w:r w:rsidDel="00000000" w:rsidR="00000000" w:rsidRPr="00000000">
        <w:rPr>
          <w:rtl w:val="0"/>
        </w:rPr>
      </w:r>
    </w:p>
    <w:bookmarkStart w:colFirst="0" w:colLast="0" w:name="30j0zll" w:id="1"/>
    <w:bookmarkEnd w:id="1"/>
    <w:p w:rsidR="00000000" w:rsidDel="00000000" w:rsidP="00000000" w:rsidRDefault="00000000" w:rsidRPr="00000000" w14:paraId="00000023">
      <w:pPr>
        <w:pStyle w:val="Heading1"/>
        <w:pageBreakBefore w:val="0"/>
        <w:spacing w:before="0" w:line="240" w:lineRule="auto"/>
        <w:rPr/>
      </w:pPr>
      <w:r w:rsidDel="00000000" w:rsidR="00000000" w:rsidRPr="00000000">
        <w:rPr>
          <w:rtl w:val="0"/>
        </w:rPr>
        <w:t xml:space="preserve">Canterbury Local Plan – 2014 based Sub-National Population Projections</w:t>
      </w:r>
    </w:p>
    <w:p w:rsidR="00000000" w:rsidDel="00000000" w:rsidP="00000000" w:rsidRDefault="00000000" w:rsidRPr="00000000" w14:paraId="00000024">
      <w:pPr>
        <w:pStyle w:val="Heading1"/>
        <w:pageBreakBefore w:val="0"/>
        <w:spacing w:before="0" w:line="240" w:lineRule="auto"/>
        <w:ind w:left="1361" w:hanging="1361"/>
        <w:rPr>
          <w:b w:val="0"/>
          <w:sz w:val="16"/>
          <w:szCs w:val="1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1" w:right="0" w:hanging="1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pageBreakBefore w:val="0"/>
        <w:numPr>
          <w:ilvl w:val="0"/>
          <w:numId w:val="2"/>
        </w:numPr>
        <w:spacing w:before="0" w:line="240" w:lineRule="auto"/>
        <w:ind w:left="1418" w:hanging="1418"/>
        <w:jc w:val="both"/>
        <w:rPr>
          <w:sz w:val="22"/>
          <w:szCs w:val="22"/>
        </w:rPr>
      </w:pPr>
      <w:r w:rsidDel="00000000" w:rsidR="00000000" w:rsidRPr="00000000">
        <w:rPr>
          <w:sz w:val="22"/>
          <w:szCs w:val="22"/>
          <w:rtl w:val="0"/>
        </w:rPr>
        <w:t xml:space="preserve">Introduction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tab/>
        <w:t xml:space="preserve">On the 25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 2016, the Office for National Statistics (ONS) published the 2014-based Sub-National Population Projections (SNPP). These update the earlier ONS 2012-based SNPP and provide projections of population change for all Local Authorities over the period 2014 to 2039.  They represent new information of potential future population change within Canterbury District.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pageBreakBefore w:val="0"/>
        <w:numPr>
          <w:ilvl w:val="0"/>
          <w:numId w:val="2"/>
        </w:numPr>
        <w:spacing w:before="0" w:line="240" w:lineRule="auto"/>
        <w:ind w:left="1418" w:hanging="1418"/>
        <w:jc w:val="both"/>
        <w:rPr>
          <w:sz w:val="22"/>
          <w:szCs w:val="22"/>
        </w:rPr>
      </w:pPr>
      <w:r w:rsidDel="00000000" w:rsidR="00000000" w:rsidRPr="00000000">
        <w:rPr>
          <w:sz w:val="22"/>
          <w:szCs w:val="22"/>
          <w:rtl w:val="0"/>
        </w:rPr>
        <w:t xml:space="preserve">Planning Practice Guidance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1" w:right="0" w:hanging="1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Planning Practice Guidance (PPG) sets out that the ONS population projections form an input into assessing development needs across different uses (e.g. see ID: 2a-015 on housing needs and ID: 2a-033 on economic development needs).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respect of assessing housing needs, PPG ID: 2a-015 sets out that the ONS population projections form, alongside their counterpart household projections, the starting point for establishing the need for housing.  The 2014-based household projections will be produced by CLG, based upon the 2014-based SNPP, but are yet to be published. The Government’s website indicates these will be published on 12 July 2016</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1361" w:right="0" w:hanging="1361"/>
        <w:jc w:val="both"/>
        <w:rPr>
          <w:rFonts w:ascii="Arial" w:cs="Arial" w:eastAsia="Arial" w:hAnsi="Arial"/>
          <w:b w:val="0"/>
          <w:i w:val="0"/>
          <w:smallCaps w:val="0"/>
          <w:strike w:val="0"/>
          <w:color w:val="000000"/>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https://www.gov.uk/government/statistics/announcements/2014-based-household-projections-in-england-2014-to-2039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1361" w:right="0" w:hanging="1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1361" w:right="0" w:hanging="1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tab/>
        <w:t xml:space="preserve">The PPG at ID: 2a-016 identifies:</w:t>
      </w:r>
    </w:p>
    <w:p w:rsidR="00000000" w:rsidDel="00000000" w:rsidP="00000000" w:rsidRDefault="00000000" w:rsidRPr="00000000" w14:paraId="0000003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1" w:right="0" w:hanging="1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“Wherever possible, local needs assessments should be informed by the latest available information. The National Planning Policy Framework is clear that Local Plans should be kept up-to-date. A meaningful change in the housing situation should be considered in this context,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but this does not automatically mean that housing assessments are rendered outdated every time new projections are issued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emphasis)</w:t>
      </w:r>
    </w:p>
    <w:p w:rsidR="00000000" w:rsidDel="00000000" w:rsidP="00000000" w:rsidRDefault="00000000" w:rsidRPr="00000000" w14:paraId="0000003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PPG at ID: 2a-017-20140306 refers to if changes can be made to the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household projection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estimates of housing need. It states that:</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1" w:right="0" w:firstLine="79.0000000000000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“...plan makers may consider sensitivity testing, specific to their local circumstances, based on alternative assumptions in relation to the underlying demographic projections and household formation rates.”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goes on to highlight that: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333333"/>
          <w:sz w:val="22"/>
          <w:szCs w:val="22"/>
          <w:highlight w:val="white"/>
          <w:u w:val="none"/>
          <w:vertAlign w:val="baseline"/>
          <w:rtl w:val="0"/>
        </w:rPr>
        <w:t xml:space="preserve">Any local changes would need to be clearly explained and justified on the basis of established sources of robust evidence</w:t>
      </w: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also highlights some of the local issues that might be considered, for example: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“demographic structure that may be affected by local circumstances or policies eg expansion in education or facilities for older people”.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1" w:right="0" w:hanging="1361"/>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1" w:right="0" w:hanging="1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tab/>
        <w:t xml:space="preserve">The Office for National Statistics (ONS) also provide commentary about their methodology for calculating population projections at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https://www.ons.gov.uk/peoplepopulationandcommunity/populationandmigration/populationprojections/methodologies/methodologyusedtoproducethesubnationalpopulationprojectionsforengland#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section 6 is pertinent, stating: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2.00000000000003"/>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2.00000000000003"/>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“However, for some age groups in some areas, there are reasons why they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[referring to population estimates in different age bandings]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may not be similar. These areas are more likely to be those with large student populations. The impact of this will be an over estimation of the migration rates at some ages and an under estimation at other ages. We plan to review this issue prior to the next round of population projections.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2.00000000000003"/>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ageBreakBefore w:val="0"/>
        <w:ind w:left="1418" w:hanging="142.00000000000003"/>
        <w:rPr>
          <w:i w:val="1"/>
        </w:rPr>
      </w:pPr>
      <w:r w:rsidDel="00000000" w:rsidR="00000000" w:rsidRPr="00000000">
        <w:rPr>
          <w:i w:val="1"/>
          <w:rtl w:val="0"/>
        </w:rPr>
        <w:t xml:space="preserve">  Overall ONS believes that the projections for the total population in an area to be robust. However, users are advised to take this into account when interpreting the projected figures by age.”</w:t>
      </w:r>
    </w:p>
    <w:p w:rsidR="00000000" w:rsidDel="00000000" w:rsidP="00000000" w:rsidRDefault="00000000" w:rsidRPr="00000000" w14:paraId="0000003D">
      <w:pPr>
        <w:pageBreakBefore w:val="0"/>
        <w:ind w:hanging="85"/>
        <w:rPr>
          <w:i w:val="1"/>
          <w:color w:val="1f497d"/>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0" w:before="0" w:line="276" w:lineRule="auto"/>
        <w:ind w:left="1276" w:right="0" w:hanging="1276"/>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against this guidance and information which the release of the 2014-based SNPP must be considered at this point and in the context of the current stage of the Examination of the Canterbury Local Plan.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pageBreakBefore w:val="0"/>
        <w:numPr>
          <w:ilvl w:val="1"/>
          <w:numId w:val="4"/>
        </w:numPr>
        <w:spacing w:before="0" w:line="240" w:lineRule="auto"/>
        <w:ind w:left="1276" w:hanging="1276"/>
        <w:jc w:val="both"/>
        <w:rPr>
          <w:sz w:val="22"/>
          <w:szCs w:val="22"/>
        </w:rPr>
      </w:pPr>
      <w:r w:rsidDel="00000000" w:rsidR="00000000" w:rsidRPr="00000000">
        <w:rPr>
          <w:sz w:val="22"/>
          <w:szCs w:val="22"/>
          <w:rtl w:val="0"/>
        </w:rPr>
        <w:t xml:space="preserve">  2014-based SNPP for Canterbury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1361" w:right="0" w:hanging="1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2014-based SNPP for Canterbury projects an increase in population of 31,625 people in the District between 2014 and 2039.  This is a higher level of population growth than in the previous 2012-based SNPP which projected population growth of 20,839 over the period 2012-2037.  This is a circa.10,000 increase in projected population over the period to 2039, which over the 25 year period would not be particularly significant on an annual basis.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1 below sets out a comparison of the components of change associated with the 2012-based SNPP and 2014-based SNPP for Canterbury.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comparison in the age structure of the projected population change under the 2012-based and 2014-based SNPP is shown in Table 2.  This shows that a large proportion of the difference between the two iterations of the SNPP is associated with the growth of the 25-49 age groups, which under the 2014-based SNPP are projected to see significant increases. </w:t>
      </w:r>
    </w:p>
    <w:p w:rsidR="00000000" w:rsidDel="00000000" w:rsidP="00000000" w:rsidRDefault="00000000" w:rsidRPr="00000000" w14:paraId="00000047">
      <w:pPr>
        <w:pageBreakBefore w:val="0"/>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18" w:top="1418" w:left="1418" w:right="1418" w:header="737" w:footer="510"/>
          <w:pgNumType w:start="1"/>
        </w:sect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1361" w:right="0" w:hanging="136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1 Comparison of 2012-based and 2014-based SNPP – Components of Change for Canterbury District</w:t>
      </w:r>
    </w:p>
    <w:tbl>
      <w:tblPr>
        <w:tblStyle w:val="Table1"/>
        <w:tblW w:w="16304.999999999998" w:type="dxa"/>
        <w:jc w:val="left"/>
        <w:tblInd w:w="-28.0" w:type="dxa"/>
        <w:tblLayout w:type="fixed"/>
        <w:tblLook w:val="0400"/>
      </w:tblPr>
      <w:tblGrid>
        <w:gridCol w:w="2128"/>
        <w:gridCol w:w="507"/>
        <w:gridCol w:w="507"/>
        <w:gridCol w:w="506"/>
        <w:gridCol w:w="507"/>
        <w:gridCol w:w="506"/>
        <w:gridCol w:w="506"/>
        <w:gridCol w:w="506"/>
        <w:gridCol w:w="507"/>
        <w:gridCol w:w="506"/>
        <w:gridCol w:w="506"/>
        <w:gridCol w:w="506"/>
        <w:gridCol w:w="507"/>
        <w:gridCol w:w="506"/>
        <w:gridCol w:w="506"/>
        <w:gridCol w:w="506"/>
        <w:gridCol w:w="507"/>
        <w:gridCol w:w="506"/>
        <w:gridCol w:w="506"/>
        <w:gridCol w:w="506"/>
        <w:gridCol w:w="507"/>
        <w:gridCol w:w="506"/>
        <w:gridCol w:w="506"/>
        <w:gridCol w:w="506"/>
        <w:gridCol w:w="507"/>
        <w:gridCol w:w="506"/>
        <w:gridCol w:w="506"/>
        <w:gridCol w:w="506"/>
        <w:gridCol w:w="507"/>
        <w:tblGridChange w:id="0">
          <w:tblGrid>
            <w:gridCol w:w="2128"/>
            <w:gridCol w:w="507"/>
            <w:gridCol w:w="507"/>
            <w:gridCol w:w="506"/>
            <w:gridCol w:w="507"/>
            <w:gridCol w:w="506"/>
            <w:gridCol w:w="506"/>
            <w:gridCol w:w="506"/>
            <w:gridCol w:w="507"/>
            <w:gridCol w:w="506"/>
            <w:gridCol w:w="506"/>
            <w:gridCol w:w="506"/>
            <w:gridCol w:w="507"/>
            <w:gridCol w:w="506"/>
            <w:gridCol w:w="506"/>
            <w:gridCol w:w="506"/>
            <w:gridCol w:w="507"/>
            <w:gridCol w:w="506"/>
            <w:gridCol w:w="506"/>
            <w:gridCol w:w="506"/>
            <w:gridCol w:w="507"/>
            <w:gridCol w:w="506"/>
            <w:gridCol w:w="506"/>
            <w:gridCol w:w="506"/>
            <w:gridCol w:w="507"/>
            <w:gridCol w:w="506"/>
            <w:gridCol w:w="506"/>
            <w:gridCol w:w="506"/>
            <w:gridCol w:w="507"/>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9">
            <w:pPr>
              <w:pageBreakBefore w:val="0"/>
              <w:spacing w:after="20" w:before="2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ONS 2012-based SNPP</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A">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2012</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B">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2013</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C">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D">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E">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2016</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4F">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2017</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0">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2018</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1">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2019</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2">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2020</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3">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2021</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4">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2022</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5">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2023</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6">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7">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8">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2026</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9">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2027</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A">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2028</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B">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2029</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C">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2030</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D">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2031</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E">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2032</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5F">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2033</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60">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61">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62">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2036</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63">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2037</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64">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65">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Population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153.6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154.0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154.6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155.3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156.0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156.8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157.4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6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158.0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158.6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159.3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162.5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163.7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166.1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167.1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168.2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169.2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170.9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7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174.2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1">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2">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83">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Natural Change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4">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E">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F">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A0">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Births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1">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B">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C">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D">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Deaths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E">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8">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9">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DA">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Migration Net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B">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5">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6">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F7">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Internal Migration In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8">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F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2">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3">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14">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Internal Migration Out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5">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F">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0">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31">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International Migration In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2">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C">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D">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4E">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International Migration Out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F">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5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9">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A">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6B">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Cross-border Migration In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C">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6">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7">
            <w:pPr>
              <w:pageBreakBefore w:val="0"/>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88">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Cross-border Migration Out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9">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A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A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A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A3">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A4">
            <w:pPr>
              <w:pageBreakBefore w:val="0"/>
              <w:rPr/>
            </w:pPr>
            <w:r w:rsidDel="00000000" w:rsidR="00000000" w:rsidRPr="00000000">
              <w:rPr>
                <w:rtl w:val="0"/>
              </w:rPr>
            </w:r>
          </w:p>
        </w:tc>
      </w:tr>
      <w:tr>
        <w:trPr>
          <w:cantSplit w:val="0"/>
          <w:trHeight w:val="240" w:hRule="atLeast"/>
          <w:tblHeader w:val="0"/>
        </w:trPr>
        <w:tc>
          <w:tcPr>
            <w:vAlign w:val="bottom"/>
          </w:tcPr>
          <w:p w:rsidR="00000000" w:rsidDel="00000000" w:rsidP="00000000" w:rsidRDefault="00000000" w:rsidRPr="00000000" w14:paraId="000001A5">
            <w:pPr>
              <w:pageBreakBefore w:val="0"/>
              <w:rPr/>
            </w:pPr>
            <w:r w:rsidDel="00000000" w:rsidR="00000000" w:rsidRPr="00000000">
              <w:rPr>
                <w:rtl w:val="0"/>
              </w:rPr>
            </w:r>
          </w:p>
        </w:tc>
        <w:tc>
          <w:tcPr>
            <w:vAlign w:val="bottom"/>
          </w:tcPr>
          <w:p w:rsidR="00000000" w:rsidDel="00000000" w:rsidP="00000000" w:rsidRDefault="00000000" w:rsidRPr="00000000" w14:paraId="000001A6">
            <w:pPr>
              <w:pageBreakBefore w:val="0"/>
              <w:rPr/>
            </w:pPr>
            <w:r w:rsidDel="00000000" w:rsidR="00000000" w:rsidRPr="00000000">
              <w:rPr>
                <w:rtl w:val="0"/>
              </w:rPr>
            </w:r>
          </w:p>
        </w:tc>
        <w:tc>
          <w:tcPr>
            <w:vAlign w:val="bottom"/>
          </w:tcPr>
          <w:p w:rsidR="00000000" w:rsidDel="00000000" w:rsidP="00000000" w:rsidRDefault="00000000" w:rsidRPr="00000000" w14:paraId="000001A7">
            <w:pPr>
              <w:pageBreakBefore w:val="0"/>
              <w:rPr/>
            </w:pPr>
            <w:r w:rsidDel="00000000" w:rsidR="00000000" w:rsidRPr="00000000">
              <w:rPr>
                <w:rtl w:val="0"/>
              </w:rPr>
            </w:r>
          </w:p>
        </w:tc>
        <w:tc>
          <w:tcPr>
            <w:vAlign w:val="bottom"/>
          </w:tcPr>
          <w:p w:rsidR="00000000" w:rsidDel="00000000" w:rsidP="00000000" w:rsidRDefault="00000000" w:rsidRPr="00000000" w14:paraId="000001A8">
            <w:pPr>
              <w:pageBreakBefore w:val="0"/>
              <w:rPr/>
            </w:pPr>
            <w:r w:rsidDel="00000000" w:rsidR="00000000" w:rsidRPr="00000000">
              <w:rPr>
                <w:rtl w:val="0"/>
              </w:rPr>
            </w:r>
          </w:p>
        </w:tc>
        <w:tc>
          <w:tcPr>
            <w:vAlign w:val="bottom"/>
          </w:tcPr>
          <w:p w:rsidR="00000000" w:rsidDel="00000000" w:rsidP="00000000" w:rsidRDefault="00000000" w:rsidRPr="00000000" w14:paraId="000001A9">
            <w:pPr>
              <w:pageBreakBefore w:val="0"/>
              <w:rPr/>
            </w:pPr>
            <w:r w:rsidDel="00000000" w:rsidR="00000000" w:rsidRPr="00000000">
              <w:rPr>
                <w:rtl w:val="0"/>
              </w:rPr>
            </w:r>
          </w:p>
        </w:tc>
        <w:tc>
          <w:tcPr>
            <w:vAlign w:val="bottom"/>
          </w:tcPr>
          <w:p w:rsidR="00000000" w:rsidDel="00000000" w:rsidP="00000000" w:rsidRDefault="00000000" w:rsidRPr="00000000" w14:paraId="000001AA">
            <w:pPr>
              <w:pageBreakBefore w:val="0"/>
              <w:rPr/>
            </w:pPr>
            <w:r w:rsidDel="00000000" w:rsidR="00000000" w:rsidRPr="00000000">
              <w:rPr>
                <w:rtl w:val="0"/>
              </w:rPr>
            </w:r>
          </w:p>
        </w:tc>
        <w:tc>
          <w:tcPr>
            <w:vAlign w:val="bottom"/>
          </w:tcPr>
          <w:p w:rsidR="00000000" w:rsidDel="00000000" w:rsidP="00000000" w:rsidRDefault="00000000" w:rsidRPr="00000000" w14:paraId="000001AB">
            <w:pPr>
              <w:pageBreakBefore w:val="0"/>
              <w:rPr/>
            </w:pPr>
            <w:r w:rsidDel="00000000" w:rsidR="00000000" w:rsidRPr="00000000">
              <w:rPr>
                <w:rtl w:val="0"/>
              </w:rPr>
            </w:r>
          </w:p>
        </w:tc>
        <w:tc>
          <w:tcPr>
            <w:vAlign w:val="bottom"/>
          </w:tcPr>
          <w:p w:rsidR="00000000" w:rsidDel="00000000" w:rsidP="00000000" w:rsidRDefault="00000000" w:rsidRPr="00000000" w14:paraId="000001AC">
            <w:pPr>
              <w:pageBreakBefore w:val="0"/>
              <w:rPr/>
            </w:pPr>
            <w:r w:rsidDel="00000000" w:rsidR="00000000" w:rsidRPr="00000000">
              <w:rPr>
                <w:rtl w:val="0"/>
              </w:rPr>
            </w:r>
          </w:p>
        </w:tc>
        <w:tc>
          <w:tcPr>
            <w:vAlign w:val="bottom"/>
          </w:tcPr>
          <w:p w:rsidR="00000000" w:rsidDel="00000000" w:rsidP="00000000" w:rsidRDefault="00000000" w:rsidRPr="00000000" w14:paraId="000001AD">
            <w:pPr>
              <w:pageBreakBefore w:val="0"/>
              <w:rPr/>
            </w:pPr>
            <w:r w:rsidDel="00000000" w:rsidR="00000000" w:rsidRPr="00000000">
              <w:rPr>
                <w:rtl w:val="0"/>
              </w:rPr>
            </w:r>
          </w:p>
        </w:tc>
        <w:tc>
          <w:tcPr>
            <w:vAlign w:val="bottom"/>
          </w:tcPr>
          <w:p w:rsidR="00000000" w:rsidDel="00000000" w:rsidP="00000000" w:rsidRDefault="00000000" w:rsidRPr="00000000" w14:paraId="000001AE">
            <w:pPr>
              <w:pageBreakBefore w:val="0"/>
              <w:rPr/>
            </w:pPr>
            <w:r w:rsidDel="00000000" w:rsidR="00000000" w:rsidRPr="00000000">
              <w:rPr>
                <w:rtl w:val="0"/>
              </w:rPr>
            </w:r>
          </w:p>
        </w:tc>
        <w:tc>
          <w:tcPr>
            <w:vAlign w:val="bottom"/>
          </w:tcPr>
          <w:p w:rsidR="00000000" w:rsidDel="00000000" w:rsidP="00000000" w:rsidRDefault="00000000" w:rsidRPr="00000000" w14:paraId="000001AF">
            <w:pPr>
              <w:pageBreakBefore w:val="0"/>
              <w:rPr/>
            </w:pPr>
            <w:r w:rsidDel="00000000" w:rsidR="00000000" w:rsidRPr="00000000">
              <w:rPr>
                <w:rtl w:val="0"/>
              </w:rPr>
            </w:r>
          </w:p>
        </w:tc>
        <w:tc>
          <w:tcPr>
            <w:vAlign w:val="bottom"/>
          </w:tcPr>
          <w:p w:rsidR="00000000" w:rsidDel="00000000" w:rsidP="00000000" w:rsidRDefault="00000000" w:rsidRPr="00000000" w14:paraId="000001B0">
            <w:pPr>
              <w:pageBreakBefore w:val="0"/>
              <w:rPr/>
            </w:pPr>
            <w:r w:rsidDel="00000000" w:rsidR="00000000" w:rsidRPr="00000000">
              <w:rPr>
                <w:rtl w:val="0"/>
              </w:rPr>
            </w:r>
          </w:p>
        </w:tc>
        <w:tc>
          <w:tcPr>
            <w:vAlign w:val="bottom"/>
          </w:tcPr>
          <w:p w:rsidR="00000000" w:rsidDel="00000000" w:rsidP="00000000" w:rsidRDefault="00000000" w:rsidRPr="00000000" w14:paraId="000001B1">
            <w:pPr>
              <w:pageBreakBefore w:val="0"/>
              <w:rPr/>
            </w:pPr>
            <w:r w:rsidDel="00000000" w:rsidR="00000000" w:rsidRPr="00000000">
              <w:rPr>
                <w:rtl w:val="0"/>
              </w:rPr>
            </w:r>
          </w:p>
        </w:tc>
        <w:tc>
          <w:tcPr>
            <w:vAlign w:val="bottom"/>
          </w:tcPr>
          <w:p w:rsidR="00000000" w:rsidDel="00000000" w:rsidP="00000000" w:rsidRDefault="00000000" w:rsidRPr="00000000" w14:paraId="000001B2">
            <w:pPr>
              <w:pageBreakBefore w:val="0"/>
              <w:rPr/>
            </w:pPr>
            <w:r w:rsidDel="00000000" w:rsidR="00000000" w:rsidRPr="00000000">
              <w:rPr>
                <w:rtl w:val="0"/>
              </w:rPr>
            </w:r>
          </w:p>
        </w:tc>
        <w:tc>
          <w:tcPr>
            <w:vAlign w:val="bottom"/>
          </w:tcPr>
          <w:p w:rsidR="00000000" w:rsidDel="00000000" w:rsidP="00000000" w:rsidRDefault="00000000" w:rsidRPr="00000000" w14:paraId="000001B3">
            <w:pPr>
              <w:pageBreakBefore w:val="0"/>
              <w:rPr/>
            </w:pPr>
            <w:r w:rsidDel="00000000" w:rsidR="00000000" w:rsidRPr="00000000">
              <w:rPr>
                <w:rtl w:val="0"/>
              </w:rPr>
            </w:r>
          </w:p>
        </w:tc>
        <w:tc>
          <w:tcPr>
            <w:vAlign w:val="bottom"/>
          </w:tcPr>
          <w:p w:rsidR="00000000" w:rsidDel="00000000" w:rsidP="00000000" w:rsidRDefault="00000000" w:rsidRPr="00000000" w14:paraId="000001B4">
            <w:pPr>
              <w:pageBreakBefore w:val="0"/>
              <w:rPr/>
            </w:pPr>
            <w:r w:rsidDel="00000000" w:rsidR="00000000" w:rsidRPr="00000000">
              <w:rPr>
                <w:rtl w:val="0"/>
              </w:rPr>
            </w:r>
          </w:p>
        </w:tc>
        <w:tc>
          <w:tcPr>
            <w:vAlign w:val="bottom"/>
          </w:tcPr>
          <w:p w:rsidR="00000000" w:rsidDel="00000000" w:rsidP="00000000" w:rsidRDefault="00000000" w:rsidRPr="00000000" w14:paraId="000001B5">
            <w:pPr>
              <w:pageBreakBefore w:val="0"/>
              <w:rPr/>
            </w:pPr>
            <w:r w:rsidDel="00000000" w:rsidR="00000000" w:rsidRPr="00000000">
              <w:rPr>
                <w:rtl w:val="0"/>
              </w:rPr>
            </w:r>
          </w:p>
        </w:tc>
        <w:tc>
          <w:tcPr>
            <w:vAlign w:val="bottom"/>
          </w:tcPr>
          <w:p w:rsidR="00000000" w:rsidDel="00000000" w:rsidP="00000000" w:rsidRDefault="00000000" w:rsidRPr="00000000" w14:paraId="000001B6">
            <w:pPr>
              <w:pageBreakBefore w:val="0"/>
              <w:rPr/>
            </w:pPr>
            <w:r w:rsidDel="00000000" w:rsidR="00000000" w:rsidRPr="00000000">
              <w:rPr>
                <w:rtl w:val="0"/>
              </w:rPr>
            </w:r>
          </w:p>
        </w:tc>
        <w:tc>
          <w:tcPr>
            <w:vAlign w:val="bottom"/>
          </w:tcPr>
          <w:p w:rsidR="00000000" w:rsidDel="00000000" w:rsidP="00000000" w:rsidRDefault="00000000" w:rsidRPr="00000000" w14:paraId="000001B7">
            <w:pPr>
              <w:pageBreakBefore w:val="0"/>
              <w:rPr/>
            </w:pPr>
            <w:r w:rsidDel="00000000" w:rsidR="00000000" w:rsidRPr="00000000">
              <w:rPr>
                <w:rtl w:val="0"/>
              </w:rPr>
            </w:r>
          </w:p>
        </w:tc>
        <w:tc>
          <w:tcPr>
            <w:vAlign w:val="bottom"/>
          </w:tcPr>
          <w:p w:rsidR="00000000" w:rsidDel="00000000" w:rsidP="00000000" w:rsidRDefault="00000000" w:rsidRPr="00000000" w14:paraId="000001B8">
            <w:pPr>
              <w:pageBreakBefore w:val="0"/>
              <w:rPr/>
            </w:pPr>
            <w:r w:rsidDel="00000000" w:rsidR="00000000" w:rsidRPr="00000000">
              <w:rPr>
                <w:rtl w:val="0"/>
              </w:rPr>
            </w:r>
          </w:p>
        </w:tc>
        <w:tc>
          <w:tcPr>
            <w:vAlign w:val="bottom"/>
          </w:tcPr>
          <w:p w:rsidR="00000000" w:rsidDel="00000000" w:rsidP="00000000" w:rsidRDefault="00000000" w:rsidRPr="00000000" w14:paraId="000001B9">
            <w:pPr>
              <w:pageBreakBefore w:val="0"/>
              <w:rPr/>
            </w:pPr>
            <w:r w:rsidDel="00000000" w:rsidR="00000000" w:rsidRPr="00000000">
              <w:rPr>
                <w:rtl w:val="0"/>
              </w:rPr>
            </w:r>
          </w:p>
        </w:tc>
        <w:tc>
          <w:tcPr>
            <w:vAlign w:val="bottom"/>
          </w:tcPr>
          <w:p w:rsidR="00000000" w:rsidDel="00000000" w:rsidP="00000000" w:rsidRDefault="00000000" w:rsidRPr="00000000" w14:paraId="000001BA">
            <w:pPr>
              <w:pageBreakBefore w:val="0"/>
              <w:rPr/>
            </w:pPr>
            <w:r w:rsidDel="00000000" w:rsidR="00000000" w:rsidRPr="00000000">
              <w:rPr>
                <w:rtl w:val="0"/>
              </w:rPr>
            </w:r>
          </w:p>
        </w:tc>
        <w:tc>
          <w:tcPr>
            <w:vAlign w:val="bottom"/>
          </w:tcPr>
          <w:p w:rsidR="00000000" w:rsidDel="00000000" w:rsidP="00000000" w:rsidRDefault="00000000" w:rsidRPr="00000000" w14:paraId="000001BB">
            <w:pPr>
              <w:pageBreakBefore w:val="0"/>
              <w:rPr/>
            </w:pPr>
            <w:r w:rsidDel="00000000" w:rsidR="00000000" w:rsidRPr="00000000">
              <w:rPr>
                <w:rtl w:val="0"/>
              </w:rPr>
            </w:r>
          </w:p>
        </w:tc>
        <w:tc>
          <w:tcPr>
            <w:vAlign w:val="bottom"/>
          </w:tcPr>
          <w:p w:rsidR="00000000" w:rsidDel="00000000" w:rsidP="00000000" w:rsidRDefault="00000000" w:rsidRPr="00000000" w14:paraId="000001BC">
            <w:pPr>
              <w:pageBreakBefore w:val="0"/>
              <w:rPr/>
            </w:pPr>
            <w:r w:rsidDel="00000000" w:rsidR="00000000" w:rsidRPr="00000000">
              <w:rPr>
                <w:rtl w:val="0"/>
              </w:rPr>
            </w:r>
          </w:p>
        </w:tc>
        <w:tc>
          <w:tcPr>
            <w:vAlign w:val="bottom"/>
          </w:tcPr>
          <w:p w:rsidR="00000000" w:rsidDel="00000000" w:rsidP="00000000" w:rsidRDefault="00000000" w:rsidRPr="00000000" w14:paraId="000001BD">
            <w:pPr>
              <w:pageBreakBefore w:val="0"/>
              <w:rPr/>
            </w:pPr>
            <w:r w:rsidDel="00000000" w:rsidR="00000000" w:rsidRPr="00000000">
              <w:rPr>
                <w:rtl w:val="0"/>
              </w:rPr>
            </w:r>
          </w:p>
        </w:tc>
        <w:tc>
          <w:tcPr>
            <w:vAlign w:val="bottom"/>
          </w:tcPr>
          <w:p w:rsidR="00000000" w:rsidDel="00000000" w:rsidP="00000000" w:rsidRDefault="00000000" w:rsidRPr="00000000" w14:paraId="000001BE">
            <w:pPr>
              <w:pageBreakBefore w:val="0"/>
              <w:rPr/>
            </w:pPr>
            <w:r w:rsidDel="00000000" w:rsidR="00000000" w:rsidRPr="00000000">
              <w:rPr>
                <w:rtl w:val="0"/>
              </w:rPr>
            </w:r>
          </w:p>
        </w:tc>
        <w:tc>
          <w:tcPr>
            <w:vAlign w:val="bottom"/>
          </w:tcPr>
          <w:p w:rsidR="00000000" w:rsidDel="00000000" w:rsidP="00000000" w:rsidRDefault="00000000" w:rsidRPr="00000000" w14:paraId="000001BF">
            <w:pPr>
              <w:pageBreakBefore w:val="0"/>
              <w:rPr/>
            </w:pPr>
            <w:r w:rsidDel="00000000" w:rsidR="00000000" w:rsidRPr="00000000">
              <w:rPr>
                <w:rtl w:val="0"/>
              </w:rPr>
            </w:r>
          </w:p>
        </w:tc>
        <w:tc>
          <w:tcPr>
            <w:vAlign w:val="bottom"/>
          </w:tcPr>
          <w:p w:rsidR="00000000" w:rsidDel="00000000" w:rsidP="00000000" w:rsidRDefault="00000000" w:rsidRPr="00000000" w14:paraId="000001C0">
            <w:pPr>
              <w:pageBreakBefore w:val="0"/>
              <w:rPr/>
            </w:pPr>
            <w:r w:rsidDel="00000000" w:rsidR="00000000" w:rsidRPr="00000000">
              <w:rPr>
                <w:rtl w:val="0"/>
              </w:rPr>
            </w:r>
          </w:p>
        </w:tc>
        <w:tc>
          <w:tcPr>
            <w:vAlign w:val="bottom"/>
          </w:tcPr>
          <w:p w:rsidR="00000000" w:rsidDel="00000000" w:rsidP="00000000" w:rsidRDefault="00000000" w:rsidRPr="00000000" w14:paraId="000001C1">
            <w:pPr>
              <w:pageBreakBefore w:val="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C2">
            <w:pPr>
              <w:pageBreakBefore w:val="0"/>
              <w:spacing w:after="20" w:before="2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ONS 2014-based SNPP</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3">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4">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5">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6">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7">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2016</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8">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2017</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9">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2018</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A">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2019</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B">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2020</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C">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2021</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D">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2022</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E">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2023</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CF">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0">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1">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2026</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2">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2027</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3">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2028</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4">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2029</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5">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2030</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6">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2031</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7">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2032</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8">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2033</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9">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A">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B">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2036</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C">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2037</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D">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2038</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DE">
            <w:pPr>
              <w:pageBreakBefore w:val="0"/>
              <w:spacing w:after="20" w:before="2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2039</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DF">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Population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0">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1">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157.6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159.1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163.1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164.1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165.1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166.0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167.1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168.3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169.7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172.9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E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174.5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176.0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177.5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178.9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183.6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184.7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185.8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187.0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188.1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189.3</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FC">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Natural Change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D">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E">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FF">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0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-0.5</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19">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Births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A">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B">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C">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1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2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36">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Deaths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7">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8">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9">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3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4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2.0</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53">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All Migration Net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4">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5">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6">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5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6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1.7</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70">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Internal Migration In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1">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2">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3">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14.3</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8D">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Internal Migration Out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E">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F">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0">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13.7</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AA">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International Migration In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B">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C">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D">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B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2.1</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C7">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International Migration Out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8">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9">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A">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C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D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E4">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Cross-border Migration In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5">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6">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7">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E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F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301">
            <w:pPr>
              <w:pageBreakBefore w:val="0"/>
              <w:spacing w:after="20" w:before="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Cross-border Migration Out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2">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3">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4">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E">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F">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0">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1">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2">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3">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4">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5">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6">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7">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8">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9">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A">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B">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C">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1D">
            <w:pPr>
              <w:pageBreakBefore w:val="0"/>
              <w:spacing w:after="20" w:before="2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0.4</w:t>
            </w:r>
          </w:p>
        </w:tc>
      </w:tr>
    </w:tbl>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40" w:before="280" w:line="240" w:lineRule="auto"/>
        <w:ind w:left="-142" w:right="0" w:hanging="906.9999999999999"/>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Source:</w:t>
        <w:tab/>
        <w:t xml:space="preserve">ONS 2012-based and 2014-based SNPP (Table 5: Subnational Population Projections with Components of Change (Births, Deaths and Migration) for Regions and Local Authorities in England)</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40" w:line="240" w:lineRule="auto"/>
        <w:ind w:left="1361" w:right="0" w:hanging="1361"/>
        <w:jc w:val="left"/>
        <w:rPr>
          <w:rFonts w:ascii="Arial" w:cs="Arial" w:eastAsia="Arial" w:hAnsi="Arial"/>
          <w:b w:val="0"/>
          <w:i w:val="0"/>
          <w:smallCaps w:val="0"/>
          <w:strike w:val="0"/>
          <w:color w:val="000000"/>
          <w:sz w:val="22"/>
          <w:szCs w:val="22"/>
          <w:u w:val="none"/>
          <w:shd w:fill="auto" w:val="clear"/>
          <w:vertAlign w:val="baseline"/>
        </w:rPr>
        <w:sectPr>
          <w:type w:val="nextPage"/>
          <w:pgSz w:h="16838" w:w="11906" w:orient="portrait"/>
          <w:pgMar w:bottom="1418" w:top="1418" w:left="1418" w:right="1418" w:header="737" w:footer="510"/>
        </w:sect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40" w:line="240" w:lineRule="auto"/>
        <w:ind w:left="1361" w:right="0" w:hanging="1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134"/>
        </w:tabs>
        <w:spacing w:after="140" w:before="280" w:line="240" w:lineRule="auto"/>
        <w:ind w:left="993" w:right="0" w:hanging="90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2 </w:t>
        <w:tab/>
        <w:t xml:space="preserve">Difference between age profiles of 2012-based and 2014-based projections </w:t>
      </w:r>
    </w:p>
    <w:tbl>
      <w:tblPr>
        <w:tblStyle w:val="Table2"/>
        <w:tblW w:w="9371.0" w:type="dxa"/>
        <w:jc w:val="left"/>
        <w:tblInd w:w="65.00000000000001" w:type="dxa"/>
        <w:tblLayout w:type="fixed"/>
        <w:tblLook w:val="0400"/>
      </w:tblPr>
      <w:tblGrid>
        <w:gridCol w:w="724"/>
        <w:gridCol w:w="876"/>
        <w:gridCol w:w="876"/>
        <w:gridCol w:w="875"/>
        <w:gridCol w:w="917"/>
        <w:gridCol w:w="876"/>
        <w:gridCol w:w="876"/>
        <w:gridCol w:w="875"/>
        <w:gridCol w:w="1058"/>
        <w:gridCol w:w="1418"/>
        <w:tblGridChange w:id="0">
          <w:tblGrid>
            <w:gridCol w:w="724"/>
            <w:gridCol w:w="876"/>
            <w:gridCol w:w="876"/>
            <w:gridCol w:w="875"/>
            <w:gridCol w:w="917"/>
            <w:gridCol w:w="876"/>
            <w:gridCol w:w="876"/>
            <w:gridCol w:w="875"/>
            <w:gridCol w:w="1058"/>
            <w:gridCol w:w="1418"/>
          </w:tblGrid>
        </w:tblGridChange>
      </w:tblGrid>
      <w:tr>
        <w:trPr>
          <w:cantSplit w:val="0"/>
          <w:trHeight w:val="600" w:hRule="atLeast"/>
          <w:tblHeader w:val="0"/>
        </w:trPr>
        <w:tc>
          <w:tcPr>
            <w:vMerge w:val="restart"/>
            <w:tcBorders>
              <w:top w:color="000000" w:space="0" w:sz="18" w:val="single"/>
              <w:left w:color="000000" w:space="0" w:sz="18" w:val="single"/>
              <w:bottom w:color="000000" w:space="0" w:sz="4" w:val="single"/>
              <w:right w:color="000000" w:space="0" w:sz="18" w:val="single"/>
            </w:tcBorders>
            <w:vAlign w:val="bottom"/>
          </w:tcPr>
          <w:p w:rsidR="00000000" w:rsidDel="00000000" w:rsidP="00000000" w:rsidRDefault="00000000" w:rsidRPr="00000000" w14:paraId="00000322">
            <w:pPr>
              <w:pageBreakBefore w:val="0"/>
              <w:spacing w:after="20" w:before="2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Age</w:t>
            </w:r>
          </w:p>
          <w:p w:rsidR="00000000" w:rsidDel="00000000" w:rsidP="00000000" w:rsidRDefault="00000000" w:rsidRPr="00000000" w14:paraId="00000323">
            <w:pPr>
              <w:pageBreakBefore w:val="0"/>
              <w:spacing w:after="20" w:before="2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gridSpan w:val="4"/>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24">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2012-based SNPP (2012-2037)</w:t>
            </w:r>
          </w:p>
        </w:tc>
        <w:tc>
          <w:tcPr>
            <w:gridSpan w:val="4"/>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28">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2014-based SNPP (2014-2039)</w:t>
            </w:r>
          </w:p>
        </w:tc>
        <w:tc>
          <w:tcPr>
            <w:tcBorders>
              <w:top w:color="000000" w:space="0" w:sz="18" w:val="single"/>
              <w:left w:color="000000" w:space="0" w:sz="18" w:val="single"/>
              <w:bottom w:color="000000" w:space="0" w:sz="4" w:val="single"/>
              <w:right w:color="000000" w:space="0" w:sz="18" w:val="single"/>
            </w:tcBorders>
            <w:vAlign w:val="bottom"/>
          </w:tcPr>
          <w:p w:rsidR="00000000" w:rsidDel="00000000" w:rsidP="00000000" w:rsidRDefault="00000000" w:rsidRPr="00000000" w14:paraId="0000032C">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Difference in 2014-SNPP</w:t>
            </w:r>
          </w:p>
        </w:tc>
      </w:tr>
      <w:tr>
        <w:trPr>
          <w:cantSplit w:val="0"/>
          <w:trHeight w:val="3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bottom"/>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tcBorders>
              <w:top w:color="000000" w:space="0" w:sz="0" w:val="nil"/>
              <w:left w:color="000000" w:space="0" w:sz="18" w:val="single"/>
              <w:bottom w:color="000000" w:space="0" w:sz="4" w:val="single"/>
              <w:right w:color="000000" w:space="0" w:sz="4" w:val="single"/>
            </w:tcBorders>
            <w:vAlign w:val="center"/>
          </w:tcPr>
          <w:p w:rsidR="00000000" w:rsidDel="00000000" w:rsidP="00000000" w:rsidRDefault="00000000" w:rsidRPr="00000000" w14:paraId="0000032E">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2012 Pop</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F">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2037 Pop</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0">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Change</w:t>
            </w:r>
          </w:p>
        </w:tc>
        <w:tc>
          <w:tcPr>
            <w:tcBorders>
              <w:top w:color="000000" w:space="0" w:sz="0" w:val="nil"/>
              <w:left w:color="000000" w:space="0" w:sz="0" w:val="nil"/>
              <w:bottom w:color="000000" w:space="0" w:sz="4" w:val="single"/>
              <w:right w:color="000000" w:space="0" w:sz="18" w:val="single"/>
            </w:tcBorders>
            <w:vAlign w:val="center"/>
          </w:tcPr>
          <w:p w:rsidR="00000000" w:rsidDel="00000000" w:rsidP="00000000" w:rsidRDefault="00000000" w:rsidRPr="00000000" w14:paraId="00000331">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of Change</w:t>
            </w:r>
          </w:p>
        </w:tc>
        <w:tc>
          <w:tcPr>
            <w:tcBorders>
              <w:top w:color="000000" w:space="0" w:sz="0" w:val="nil"/>
              <w:left w:color="000000" w:space="0" w:sz="18" w:val="single"/>
              <w:bottom w:color="000000" w:space="0" w:sz="4" w:val="single"/>
              <w:right w:color="000000" w:space="0" w:sz="4" w:val="single"/>
            </w:tcBorders>
            <w:vAlign w:val="center"/>
          </w:tcPr>
          <w:p w:rsidR="00000000" w:rsidDel="00000000" w:rsidP="00000000" w:rsidRDefault="00000000" w:rsidRPr="00000000" w14:paraId="00000332">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2014 Pop</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3">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2039 Pop</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4">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Change</w:t>
            </w:r>
          </w:p>
        </w:tc>
        <w:tc>
          <w:tcPr>
            <w:tcBorders>
              <w:top w:color="000000" w:space="0" w:sz="0" w:val="nil"/>
              <w:left w:color="000000" w:space="0" w:sz="0" w:val="nil"/>
              <w:bottom w:color="000000" w:space="0" w:sz="4" w:val="single"/>
              <w:right w:color="000000" w:space="0" w:sz="18" w:val="single"/>
            </w:tcBorders>
            <w:vAlign w:val="center"/>
          </w:tcPr>
          <w:p w:rsidR="00000000" w:rsidDel="00000000" w:rsidP="00000000" w:rsidRDefault="00000000" w:rsidRPr="00000000" w14:paraId="00000335">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of Change</w:t>
            </w:r>
          </w:p>
        </w:tc>
        <w:tc>
          <w:tcPr>
            <w:tcBorders>
              <w:top w:color="000000" w:space="0" w:sz="0" w:val="nil"/>
              <w:left w:color="000000" w:space="0" w:sz="18" w:val="single"/>
              <w:bottom w:color="000000" w:space="0" w:sz="4" w:val="single"/>
              <w:right w:color="000000" w:space="0" w:sz="18" w:val="single"/>
            </w:tcBorders>
            <w:vAlign w:val="center"/>
          </w:tcPr>
          <w:p w:rsidR="00000000" w:rsidDel="00000000" w:rsidP="00000000" w:rsidRDefault="00000000" w:rsidRPr="00000000" w14:paraId="00000336">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25yr Change in Projected Pop. Change</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37">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3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7,682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-678</w:t>
            </w:r>
            <w:r w:rsidDel="00000000" w:rsidR="00000000" w:rsidRPr="00000000">
              <w:rPr>
                <w:rtl w:val="0"/>
              </w:rPr>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3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3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7,676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7,697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3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3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4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+699</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41">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4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7,748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-22</w:t>
            </w:r>
            <w:r w:rsidDel="00000000" w:rsidR="00000000" w:rsidRPr="00000000">
              <w:rPr>
                <w:rtl w:val="0"/>
              </w:rPr>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4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-0.1%</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4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7,932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+398</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4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4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+420</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4B">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4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8,155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4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+571</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4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5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7,974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9,259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+1,285</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5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5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+714</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55">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15-19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5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12,453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13,605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+1,152</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5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5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12,162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14,414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5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+2,252</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5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5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+1,100</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5F">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6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18,410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18,998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+588</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6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6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20,652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21,674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+1,022</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6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6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+434</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69">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25-29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6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8,770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8,657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-113</w:t>
            </w:r>
            <w:r w:rsidDel="00000000" w:rsidR="00000000" w:rsidRPr="00000000">
              <w:rPr>
                <w:rtl w:val="0"/>
              </w:rPr>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6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-0.5%</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6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6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10,563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+1,463</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7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4.6%</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7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+1,576</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73">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30-34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7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7,398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7,618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+220</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7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7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7,889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9,192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+1,303</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7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7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+1,083</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7D">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35-39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7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7,472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7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7,568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8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0.5%</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8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+1,125</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8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8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+1,029</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87">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40-44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8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9,248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8,470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-778</w:t>
            </w:r>
            <w:r w:rsidDel="00000000" w:rsidR="00000000" w:rsidRPr="00000000">
              <w:rPr>
                <w:rtl w:val="0"/>
              </w:rPr>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8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8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9,127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8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+407</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8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9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+1,185</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91">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45-49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9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9,854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9,257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-597</w:t>
            </w:r>
            <w:r w:rsidDel="00000000" w:rsidR="00000000" w:rsidRPr="00000000">
              <w:rPr>
                <w:rtl w:val="0"/>
              </w:rPr>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9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9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9,941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10,157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+216</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9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0.7%</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9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+813</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9B">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50-54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9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8,996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9,278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9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+282</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9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A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9,496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9,893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+397</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A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A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+115</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A5">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55-59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A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8,457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9,164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+707</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A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A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9,883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A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+1,149</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A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A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+442</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AF">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60-64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B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8,968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+255</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B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B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8,589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9,498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+909</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B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B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+654</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B9">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65-69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B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8,999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10,834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+1,835</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B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8.8%</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B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9,704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10,773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+1,069</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C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C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-766</w:t>
            </w:r>
            <w:r w:rsidDel="00000000" w:rsidR="00000000" w:rsidRPr="00000000">
              <w:rPr>
                <w:rtl w:val="0"/>
              </w:rPr>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C3">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70-74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C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6,514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10,921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+4,407</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C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21.1%</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C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7,051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11,384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+4,333</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C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13.7%</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C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-74</w:t>
            </w:r>
            <w:r w:rsidDel="00000000" w:rsidR="00000000" w:rsidRPr="00000000">
              <w:rPr>
                <w:rtl w:val="0"/>
              </w:rPr>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CD">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75-79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C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5,309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C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9,036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+3,727</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D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D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5,681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9,984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+4,303</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D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13.6%</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D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+576</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D7">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80-84</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D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4,374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+2,740</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DB">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13.1%</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D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7,694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D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+3,391</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D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10.7%</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E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+651</w:t>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E1">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85-89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E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2,843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E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5,738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E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+2,895</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E5">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13.9%</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E6">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E7">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5,641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E8">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+2,740</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E9">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EA">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ff0000"/>
                <w:sz w:val="20"/>
                <w:szCs w:val="20"/>
                <w:rtl w:val="0"/>
              </w:rPr>
              <w:t xml:space="preserve">-155</w:t>
            </w:r>
            <w:r w:rsidDel="00000000" w:rsidR="00000000" w:rsidRPr="00000000">
              <w:rPr>
                <w:rtl w:val="0"/>
              </w:rPr>
            </w:r>
          </w:p>
        </w:tc>
      </w:tr>
      <w:tr>
        <w:trPr>
          <w:cantSplit w:val="0"/>
          <w:trHeight w:val="300" w:hRule="atLeast"/>
          <w:tblHeader w:val="0"/>
        </w:trPr>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EB">
            <w:pPr>
              <w:pageBreakBefore w:val="0"/>
              <w:spacing w:after="20" w:before="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EC">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1,749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ED">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5,303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EE">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+3,554</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EF">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17.1%</w:t>
            </w:r>
          </w:p>
        </w:tc>
        <w:tc>
          <w:tcPr>
            <w:tcBorders>
              <w:top w:color="000000" w:space="0" w:sz="0" w:val="nil"/>
              <w:left w:color="000000" w:space="0" w:sz="18" w:val="single"/>
              <w:bottom w:color="000000" w:space="0" w:sz="4" w:val="single"/>
              <w:right w:color="000000" w:space="0" w:sz="4" w:val="single"/>
            </w:tcBorders>
            <w:vAlign w:val="bottom"/>
          </w:tcPr>
          <w:p w:rsidR="00000000" w:rsidDel="00000000" w:rsidP="00000000" w:rsidRDefault="00000000" w:rsidRPr="00000000" w14:paraId="000003F0">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1,943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F1">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5,785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F2">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+3,842</w:t>
            </w:r>
          </w:p>
        </w:tc>
        <w:tc>
          <w:tcPr>
            <w:tcBorders>
              <w:top w:color="000000" w:space="0" w:sz="0" w:val="nil"/>
              <w:left w:color="000000" w:space="0" w:sz="0" w:val="nil"/>
              <w:bottom w:color="000000" w:space="0" w:sz="4" w:val="single"/>
              <w:right w:color="000000" w:space="0" w:sz="18" w:val="single"/>
            </w:tcBorders>
            <w:vAlign w:val="bottom"/>
          </w:tcPr>
          <w:p w:rsidR="00000000" w:rsidDel="00000000" w:rsidP="00000000" w:rsidRDefault="00000000" w:rsidRPr="00000000" w14:paraId="000003F3">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12.1%</w:t>
            </w:r>
          </w:p>
        </w:tc>
        <w:tc>
          <w:tcPr>
            <w:tcBorders>
              <w:top w:color="000000" w:space="0" w:sz="0" w:val="nil"/>
              <w:left w:color="000000" w:space="0" w:sz="18" w:val="single"/>
              <w:bottom w:color="000000" w:space="0" w:sz="4" w:val="single"/>
              <w:right w:color="000000" w:space="0" w:sz="18" w:val="single"/>
            </w:tcBorders>
            <w:vAlign w:val="bottom"/>
          </w:tcPr>
          <w:p w:rsidR="00000000" w:rsidDel="00000000" w:rsidP="00000000" w:rsidRDefault="00000000" w:rsidRPr="00000000" w14:paraId="000003F4">
            <w:pPr>
              <w:pageBreakBefore w:val="0"/>
              <w:spacing w:after="20" w:before="2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+288</w:t>
            </w:r>
          </w:p>
        </w:tc>
      </w:tr>
      <w:tr>
        <w:trPr>
          <w:cantSplit w:val="0"/>
          <w:trHeight w:val="300" w:hRule="atLeast"/>
          <w:tblHeader w:val="0"/>
        </w:trPr>
        <w:tc>
          <w:tcPr>
            <w:tcBorders>
              <w:top w:color="000000" w:space="0" w:sz="0" w:val="nil"/>
              <w:left w:color="000000" w:space="0" w:sz="18" w:val="single"/>
              <w:bottom w:color="000000" w:space="0" w:sz="18" w:val="single"/>
              <w:right w:color="000000" w:space="0" w:sz="18" w:val="single"/>
            </w:tcBorders>
            <w:vAlign w:val="bottom"/>
          </w:tcPr>
          <w:p w:rsidR="00000000" w:rsidDel="00000000" w:rsidP="00000000" w:rsidRDefault="00000000" w:rsidRPr="00000000" w14:paraId="000003F5">
            <w:pPr>
              <w:pageBreakBefore w:val="0"/>
              <w:spacing w:after="20" w:before="2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w:t>
            </w:r>
          </w:p>
        </w:tc>
        <w:tc>
          <w:tcPr>
            <w:tcBorders>
              <w:top w:color="000000" w:space="0" w:sz="0" w:val="nil"/>
              <w:left w:color="000000" w:space="0" w:sz="18" w:val="single"/>
              <w:bottom w:color="000000" w:space="0" w:sz="18" w:val="single"/>
              <w:right w:color="000000" w:space="0" w:sz="4" w:val="single"/>
            </w:tcBorders>
            <w:vAlign w:val="bottom"/>
          </w:tcPr>
          <w:p w:rsidR="00000000" w:rsidDel="00000000" w:rsidP="00000000" w:rsidRDefault="00000000" w:rsidRPr="00000000" w14:paraId="000003F6">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153,399</w:t>
            </w:r>
          </w:p>
        </w:tc>
        <w:tc>
          <w:tcPr>
            <w:tcBorders>
              <w:top w:color="000000" w:space="0" w:sz="0" w:val="nil"/>
              <w:left w:color="000000" w:space="0" w:sz="0" w:val="nil"/>
              <w:bottom w:color="000000" w:space="0" w:sz="18" w:val="single"/>
              <w:right w:color="000000" w:space="0" w:sz="4" w:val="single"/>
            </w:tcBorders>
            <w:vAlign w:val="bottom"/>
          </w:tcPr>
          <w:p w:rsidR="00000000" w:rsidDel="00000000" w:rsidP="00000000" w:rsidRDefault="00000000" w:rsidRPr="00000000" w14:paraId="000003F7">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174,238</w:t>
            </w:r>
          </w:p>
        </w:tc>
        <w:tc>
          <w:tcPr>
            <w:tcBorders>
              <w:top w:color="000000" w:space="0" w:sz="0" w:val="nil"/>
              <w:left w:color="000000" w:space="0" w:sz="0" w:val="nil"/>
              <w:bottom w:color="000000" w:space="0" w:sz="18" w:val="single"/>
              <w:right w:color="000000" w:space="0" w:sz="4" w:val="single"/>
            </w:tcBorders>
            <w:vAlign w:val="bottom"/>
          </w:tcPr>
          <w:p w:rsidR="00000000" w:rsidDel="00000000" w:rsidP="00000000" w:rsidRDefault="00000000" w:rsidRPr="00000000" w14:paraId="000003F8">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+20,839</w:t>
            </w:r>
          </w:p>
        </w:tc>
        <w:tc>
          <w:tcPr>
            <w:tcBorders>
              <w:top w:color="000000" w:space="0" w:sz="0" w:val="nil"/>
              <w:left w:color="000000" w:space="0" w:sz="0" w:val="nil"/>
              <w:bottom w:color="000000" w:space="0" w:sz="18" w:val="single"/>
              <w:right w:color="000000" w:space="0" w:sz="18" w:val="single"/>
            </w:tcBorders>
            <w:vAlign w:val="bottom"/>
          </w:tcPr>
          <w:p w:rsidR="00000000" w:rsidDel="00000000" w:rsidP="00000000" w:rsidRDefault="00000000" w:rsidRPr="00000000" w14:paraId="000003F9">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100.0%</w:t>
            </w:r>
          </w:p>
        </w:tc>
        <w:tc>
          <w:tcPr>
            <w:tcBorders>
              <w:top w:color="000000" w:space="0" w:sz="0" w:val="nil"/>
              <w:left w:color="000000" w:space="0" w:sz="18" w:val="single"/>
              <w:bottom w:color="000000" w:space="0" w:sz="18" w:val="single"/>
              <w:right w:color="000000" w:space="0" w:sz="4" w:val="single"/>
            </w:tcBorders>
            <w:vAlign w:val="bottom"/>
          </w:tcPr>
          <w:p w:rsidR="00000000" w:rsidDel="00000000" w:rsidP="00000000" w:rsidRDefault="00000000" w:rsidRPr="00000000" w14:paraId="000003FA">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157,649</w:t>
            </w:r>
          </w:p>
        </w:tc>
        <w:tc>
          <w:tcPr>
            <w:tcBorders>
              <w:top w:color="000000" w:space="0" w:sz="0" w:val="nil"/>
              <w:left w:color="000000" w:space="0" w:sz="0" w:val="nil"/>
              <w:bottom w:color="000000" w:space="0" w:sz="18" w:val="single"/>
              <w:right w:color="000000" w:space="0" w:sz="4" w:val="single"/>
            </w:tcBorders>
            <w:vAlign w:val="bottom"/>
          </w:tcPr>
          <w:p w:rsidR="00000000" w:rsidDel="00000000" w:rsidP="00000000" w:rsidRDefault="00000000" w:rsidRPr="00000000" w14:paraId="000003FB">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189,274</w:t>
            </w:r>
          </w:p>
        </w:tc>
        <w:tc>
          <w:tcPr>
            <w:tcBorders>
              <w:top w:color="000000" w:space="0" w:sz="0" w:val="nil"/>
              <w:left w:color="000000" w:space="0" w:sz="0" w:val="nil"/>
              <w:bottom w:color="000000" w:space="0" w:sz="18" w:val="single"/>
              <w:right w:color="000000" w:space="0" w:sz="4" w:val="single"/>
            </w:tcBorders>
            <w:vAlign w:val="bottom"/>
          </w:tcPr>
          <w:p w:rsidR="00000000" w:rsidDel="00000000" w:rsidP="00000000" w:rsidRDefault="00000000" w:rsidRPr="00000000" w14:paraId="000003FC">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+31,625</w:t>
            </w:r>
          </w:p>
        </w:tc>
        <w:tc>
          <w:tcPr>
            <w:tcBorders>
              <w:top w:color="000000" w:space="0" w:sz="0" w:val="nil"/>
              <w:left w:color="000000" w:space="0" w:sz="0" w:val="nil"/>
              <w:bottom w:color="000000" w:space="0" w:sz="18" w:val="single"/>
              <w:right w:color="000000" w:space="0" w:sz="18" w:val="single"/>
            </w:tcBorders>
            <w:vAlign w:val="bottom"/>
          </w:tcPr>
          <w:p w:rsidR="00000000" w:rsidDel="00000000" w:rsidP="00000000" w:rsidRDefault="00000000" w:rsidRPr="00000000" w14:paraId="000003FD">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100.0%</w:t>
            </w:r>
          </w:p>
        </w:tc>
        <w:tc>
          <w:tcPr>
            <w:tcBorders>
              <w:top w:color="000000" w:space="0" w:sz="0" w:val="nil"/>
              <w:left w:color="000000" w:space="0" w:sz="18" w:val="single"/>
              <w:bottom w:color="000000" w:space="0" w:sz="18" w:val="single"/>
              <w:right w:color="000000" w:space="0" w:sz="18" w:val="single"/>
            </w:tcBorders>
            <w:vAlign w:val="bottom"/>
          </w:tcPr>
          <w:p w:rsidR="00000000" w:rsidDel="00000000" w:rsidP="00000000" w:rsidRDefault="00000000" w:rsidRPr="00000000" w14:paraId="000003FE">
            <w:pPr>
              <w:pageBreakBefore w:val="0"/>
              <w:spacing w:after="20" w:before="2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+10,786</w:t>
            </w:r>
          </w:p>
        </w:tc>
      </w:tr>
    </w:tbl>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40" w:before="280" w:line="240" w:lineRule="auto"/>
        <w:ind w:left="993" w:right="0" w:hanging="906.9999999999999"/>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Source:</w:t>
        <w:tab/>
        <w:t xml:space="preserve">ONS 2012-based and 2014-based SNPP (Table Z1: Subnational Population Projections, Local Authorities in England)</w:t>
      </w:r>
    </w:p>
    <w:p w:rsidR="00000000" w:rsidDel="00000000" w:rsidP="00000000" w:rsidRDefault="00000000" w:rsidRPr="00000000" w14:paraId="000004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993" w:right="0" w:hanging="1135"/>
        <w:jc w:val="left"/>
        <w:rPr>
          <w:rFonts w:ascii="Arial" w:cs="Arial" w:eastAsia="Arial" w:hAnsi="Arial"/>
          <w:i w:val="0"/>
          <w:smallCaps w:val="0"/>
          <w:strike w:val="0"/>
          <w:color w:val="00000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Household Growth</w:t>
      </w:r>
      <w:r w:rsidDel="00000000" w:rsidR="00000000" w:rsidRPr="00000000">
        <w:rPr>
          <w:rtl w:val="0"/>
        </w:rPr>
      </w:r>
    </w:p>
    <w:p w:rsidR="00000000" w:rsidDel="00000000" w:rsidP="00000000" w:rsidRDefault="00000000" w:rsidRPr="00000000" w14:paraId="0000040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080" w:right="0" w:hanging="1222"/>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important to note that the SNPP only projects population change. CLG will be producing the household projections based upon applying projected household representative rates to these population projections. Once published these household projections will provide an updated starting point for an estimate of overall housing need (PPG ID: 2a-015).  It is understood CLG will be producing the 2014-based household projections in July 2016, and it would be necessary to wait until these are also published to fully understand the implications of the 2014-based round of Government projections (see also para. 2.4 above).</w:t>
      </w: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1134"/>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404">
      <w:pPr>
        <w:pStyle w:val="Heading1"/>
        <w:pageBreakBefore w:val="0"/>
        <w:numPr>
          <w:ilvl w:val="0"/>
          <w:numId w:val="1"/>
        </w:numPr>
        <w:spacing w:before="0" w:line="240" w:lineRule="auto"/>
        <w:ind w:left="993" w:hanging="1134"/>
        <w:jc w:val="both"/>
        <w:rPr/>
      </w:pPr>
      <w:r w:rsidDel="00000000" w:rsidR="00000000" w:rsidRPr="00000000">
        <w:rPr>
          <w:rtl w:val="0"/>
        </w:rPr>
        <w:t xml:space="preserve">Implications</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993" w:right="0" w:hanging="113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1134"/>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implications of the release of 2014-based SNPP for the Canterbury Local Plan Examination are considered by the Council to be difficult to appreciate at this point. Further work would have to be undertaken following the release of the household projections in July 2016.  This however would delay progress with the Local Plan. </w:t>
      </w: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113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increase in the projected population growth between the 2012-based SNPP, which informed the Plan’s evidence base, and the 2014-based SNPP appears to potentially be at least partly attributable to significant increases in projected population growth around the 25-49 age groups. The Council’s initial view is therefore that this may be associated with a known issue within the methodology for the SNPP in estimating out-migration associated with the district’s large student leaver population. This was a factor previously identified in the Development Requirements Study (CDLP1.6 paragraph 3.5) and the Housing Needs Review (CDLP5.7 paragraphs 2.8-2.13).  The methodology accompanying the 2014-based SNPP does recognise this as an issue, concluding (in respect of the issue of students in places with large student populations) that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“users are advised to take this into account when interpreting the projected figures by age”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is the case when considering household formation and housing needs.</w:t>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11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113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w:t>
        <w:tab/>
        <w:t xml:space="preserve">Whilst the figures therefore might show on the face of it an increase in numbers above those that formed the basis for the Council’s original housing need assessment, in light of the uncertainties identified above and also in light of the fact that there are clear benefits in progressing the Local Plan towards adoption especially given the advanced stage of the Examination, we do not consider that the current figures before the Inspector need to be amended.</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113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pageBreakBefore w:val="0"/>
        <w:ind w:left="993" w:hanging="1135"/>
        <w:rPr/>
      </w:pPr>
      <w:r w:rsidDel="00000000" w:rsidR="00000000" w:rsidRPr="00000000">
        <w:rPr>
          <w:rtl w:val="0"/>
        </w:rPr>
        <w:t xml:space="preserve">5.4</w:t>
        <w:tab/>
        <w:t xml:space="preserve">If deemed necessary, however any concerns about future housing need can be addressed by requiring an early review of the Local Plan and for this to be reflected on the face of the Local Plan as a modification. </w:t>
      </w:r>
    </w:p>
    <w:p w:rsidR="00000000" w:rsidDel="00000000" w:rsidP="00000000" w:rsidRDefault="00000000" w:rsidRPr="00000000" w14:paraId="0000040D">
      <w:pPr>
        <w:pageBreakBefore w:val="0"/>
        <w:ind w:hanging="1134"/>
        <w:jc w:val="both"/>
        <w:rPr>
          <w:rFonts w:ascii="Calibri" w:cs="Calibri" w:eastAsia="Calibri" w:hAnsi="Calibri"/>
        </w:rPr>
      </w:pPr>
      <w:r w:rsidDel="00000000" w:rsidR="00000000" w:rsidRPr="00000000">
        <w:rPr>
          <w:rtl w:val="0"/>
        </w:rPr>
      </w:r>
    </w:p>
    <w:p w:rsidR="00000000" w:rsidDel="00000000" w:rsidP="00000000" w:rsidRDefault="00000000" w:rsidRPr="00000000" w14:paraId="0000040E">
      <w:pPr>
        <w:pageBreakBefore w:val="0"/>
        <w:ind w:hanging="1134"/>
        <w:jc w:val="both"/>
        <w:rPr>
          <w:rFonts w:ascii="Calibri" w:cs="Calibri" w:eastAsia="Calibri" w:hAnsi="Calibri"/>
        </w:rPr>
      </w:pPr>
      <w:r w:rsidDel="00000000" w:rsidR="00000000" w:rsidRPr="00000000">
        <w:rPr>
          <w:rtl w:val="0"/>
        </w:rPr>
      </w:r>
    </w:p>
    <w:p w:rsidR="00000000" w:rsidDel="00000000" w:rsidP="00000000" w:rsidRDefault="00000000" w:rsidRPr="00000000" w14:paraId="0000040F">
      <w:pPr>
        <w:pageBreakBefore w:val="0"/>
        <w:ind w:hanging="1134"/>
        <w:jc w:val="both"/>
        <w:rPr>
          <w:rFonts w:ascii="Calibri" w:cs="Calibri" w:eastAsia="Calibri" w:hAnsi="Calibri"/>
        </w:rPr>
      </w:pPr>
      <w:r w:rsidDel="00000000" w:rsidR="00000000" w:rsidRPr="00000000">
        <w:rPr>
          <w:rtl w:val="0"/>
        </w:rPr>
      </w:r>
    </w:p>
    <w:sectPr>
      <w:type w:val="nextPage"/>
      <w:pgSz w:h="16838" w:w="11906" w:orient="portrait"/>
      <w:pgMar w:bottom="284" w:top="510" w:left="1644" w:right="1556"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Section 6 of ONS 2014-based SNPP methodology: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https://www.ons.gov.uk/peoplepopulationandcommunity/populationandmigration/populationprojections/methodologies/methodologyusedtoproducethesubnationalpopulationprojectionsforengland#internal-migration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0"/>
      <w:lvlJc w:val="left"/>
      <w:pPr>
        <w:ind w:left="360" w:hanging="360"/>
      </w:pPr>
      <w:rPr>
        <w:b w:val="0"/>
        <w:sz w:val="22"/>
        <w:szCs w:val="22"/>
      </w:rPr>
    </w:lvl>
    <w:lvl w:ilvl="1">
      <w:start w:val="1"/>
      <w:numFmt w:val="decimal"/>
      <w:lvlText w:val="%1.%2"/>
      <w:lvlJc w:val="left"/>
      <w:pPr>
        <w:ind w:left="1080" w:hanging="360"/>
      </w:pPr>
      <w:rPr>
        <w:b w:val="0"/>
        <w:sz w:val="22"/>
        <w:szCs w:val="22"/>
      </w:rPr>
    </w:lvl>
    <w:lvl w:ilvl="2">
      <w:start w:val="1"/>
      <w:numFmt w:val="decimal"/>
      <w:lvlText w:val="%1.%2.%3"/>
      <w:lvlJc w:val="left"/>
      <w:pPr>
        <w:ind w:left="2160" w:hanging="720"/>
      </w:pPr>
      <w:rPr>
        <w:b w:val="0"/>
        <w:sz w:val="22"/>
        <w:szCs w:val="22"/>
      </w:rPr>
    </w:lvl>
    <w:lvl w:ilvl="3">
      <w:start w:val="1"/>
      <w:numFmt w:val="decimal"/>
      <w:lvlText w:val="%1.%2.%3.%4"/>
      <w:lvlJc w:val="left"/>
      <w:pPr>
        <w:ind w:left="3240" w:hanging="1080"/>
      </w:pPr>
      <w:rPr>
        <w:b w:val="0"/>
        <w:sz w:val="22"/>
        <w:szCs w:val="22"/>
      </w:rPr>
    </w:lvl>
    <w:lvl w:ilvl="4">
      <w:start w:val="1"/>
      <w:numFmt w:val="decimal"/>
      <w:lvlText w:val="%1.%2.%3.%4.%5"/>
      <w:lvlJc w:val="left"/>
      <w:pPr>
        <w:ind w:left="3960" w:hanging="1080"/>
      </w:pPr>
      <w:rPr>
        <w:b w:val="0"/>
        <w:sz w:val="22"/>
        <w:szCs w:val="22"/>
      </w:rPr>
    </w:lvl>
    <w:lvl w:ilvl="5">
      <w:start w:val="1"/>
      <w:numFmt w:val="decimal"/>
      <w:lvlText w:val="%1.%2.%3.%4.%5.%6"/>
      <w:lvlJc w:val="left"/>
      <w:pPr>
        <w:ind w:left="5040" w:hanging="1440"/>
      </w:pPr>
      <w:rPr>
        <w:b w:val="0"/>
        <w:sz w:val="22"/>
        <w:szCs w:val="22"/>
      </w:rPr>
    </w:lvl>
    <w:lvl w:ilvl="6">
      <w:start w:val="1"/>
      <w:numFmt w:val="decimal"/>
      <w:lvlText w:val="%1.%2.%3.%4.%5.%6.%7"/>
      <w:lvlJc w:val="left"/>
      <w:pPr>
        <w:ind w:left="5760" w:hanging="1440"/>
      </w:pPr>
      <w:rPr>
        <w:b w:val="0"/>
        <w:sz w:val="22"/>
        <w:szCs w:val="22"/>
      </w:rPr>
    </w:lvl>
    <w:lvl w:ilvl="7">
      <w:start w:val="1"/>
      <w:numFmt w:val="decimal"/>
      <w:lvlText w:val="%1.%2.%3.%4.%5.%6.%7.%8"/>
      <w:lvlJc w:val="left"/>
      <w:pPr>
        <w:ind w:left="6840" w:hanging="1800"/>
      </w:pPr>
      <w:rPr>
        <w:b w:val="0"/>
        <w:sz w:val="22"/>
        <w:szCs w:val="22"/>
      </w:rPr>
    </w:lvl>
    <w:lvl w:ilvl="8">
      <w:start w:val="1"/>
      <w:numFmt w:val="decimal"/>
      <w:lvlText w:val="%1.%2.%3.%4.%5.%6.%7.%8.%9"/>
      <w:lvlJc w:val="left"/>
      <w:pPr>
        <w:ind w:left="7560" w:hanging="1800"/>
      </w:pPr>
      <w:rPr>
        <w:b w:val="0"/>
        <w:sz w:val="22"/>
        <w:szCs w:val="22"/>
      </w:rPr>
    </w:lvl>
  </w:abstractNum>
  <w:abstractNum w:abstractNumId="2">
    <w:lvl w:ilvl="0">
      <w:start w:val="1"/>
      <w:numFmt w:val="decimal"/>
      <w:lvlText w:val="%1.0"/>
      <w:lvlJc w:val="left"/>
      <w:pPr>
        <w:ind w:left="1800" w:hanging="360"/>
      </w:pPr>
      <w:rPr>
        <w:b w:val="0"/>
      </w:rPr>
    </w:lvl>
    <w:lvl w:ilvl="1">
      <w:start w:val="1"/>
      <w:numFmt w:val="decimal"/>
      <w:lvlText w:val="%1.%2"/>
      <w:lvlJc w:val="left"/>
      <w:pPr>
        <w:ind w:left="2520" w:hanging="360"/>
      </w:pPr>
      <w:rPr>
        <w:b w:val="0"/>
      </w:rPr>
    </w:lvl>
    <w:lvl w:ilvl="2">
      <w:start w:val="1"/>
      <w:numFmt w:val="decimal"/>
      <w:lvlText w:val="%1.%2.%3"/>
      <w:lvlJc w:val="left"/>
      <w:pPr>
        <w:ind w:left="3600" w:hanging="720"/>
      </w:pPr>
      <w:rPr>
        <w:b w:val="0"/>
      </w:rPr>
    </w:lvl>
    <w:lvl w:ilvl="3">
      <w:start w:val="1"/>
      <w:numFmt w:val="decimal"/>
      <w:lvlText w:val="%1.%2.%3.%4"/>
      <w:lvlJc w:val="left"/>
      <w:pPr>
        <w:ind w:left="4320" w:hanging="720"/>
      </w:pPr>
      <w:rPr>
        <w:b w:val="0"/>
      </w:rPr>
    </w:lvl>
    <w:lvl w:ilvl="4">
      <w:start w:val="1"/>
      <w:numFmt w:val="decimal"/>
      <w:lvlText w:val="%1.%2.%3.%4.%5"/>
      <w:lvlJc w:val="left"/>
      <w:pPr>
        <w:ind w:left="5400" w:hanging="1080"/>
      </w:pPr>
      <w:rPr>
        <w:b w:val="0"/>
      </w:rPr>
    </w:lvl>
    <w:lvl w:ilvl="5">
      <w:start w:val="1"/>
      <w:numFmt w:val="decimal"/>
      <w:lvlText w:val="%1.%2.%3.%4.%5.%6"/>
      <w:lvlJc w:val="left"/>
      <w:pPr>
        <w:ind w:left="6120" w:hanging="1080"/>
      </w:pPr>
      <w:rPr>
        <w:b w:val="0"/>
      </w:rPr>
    </w:lvl>
    <w:lvl w:ilvl="6">
      <w:start w:val="1"/>
      <w:numFmt w:val="decimal"/>
      <w:lvlText w:val="%1.%2.%3.%4.%5.%6.%7"/>
      <w:lvlJc w:val="left"/>
      <w:pPr>
        <w:ind w:left="7200" w:hanging="1440"/>
      </w:pPr>
      <w:rPr>
        <w:b w:val="0"/>
      </w:rPr>
    </w:lvl>
    <w:lvl w:ilvl="7">
      <w:start w:val="1"/>
      <w:numFmt w:val="decimal"/>
      <w:lvlText w:val="%1.%2.%3.%4.%5.%6.%7.%8"/>
      <w:lvlJc w:val="left"/>
      <w:pPr>
        <w:ind w:left="7920" w:hanging="1440"/>
      </w:pPr>
      <w:rPr>
        <w:b w:val="0"/>
      </w:rPr>
    </w:lvl>
    <w:lvl w:ilvl="8">
      <w:start w:val="1"/>
      <w:numFmt w:val="decimal"/>
      <w:lvlText w:val="%1.%2.%3.%4.%5.%6.%7.%8.%9"/>
      <w:lvlJc w:val="left"/>
      <w:pPr>
        <w:ind w:left="9000" w:hanging="1800"/>
      </w:pPr>
      <w:rPr>
        <w:b w:val="0"/>
      </w:rPr>
    </w:lvl>
  </w:abstractNum>
  <w:abstractNum w:abstractNumId="3">
    <w:lvl w:ilvl="0">
      <w:start w:val="2"/>
      <w:numFmt w:val="decimal"/>
      <w:lvlText w:val="%1"/>
      <w:lvlJc w:val="left"/>
      <w:pPr>
        <w:ind w:left="360" w:hanging="360"/>
      </w:pPr>
      <w:rPr>
        <w:i w:val="0"/>
      </w:rPr>
    </w:lvl>
    <w:lvl w:ilvl="1">
      <w:start w:val="4"/>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4">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506"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2"/>
      <w:numFmt w:val="decimal"/>
      <w:lvlText w:val="%1"/>
      <w:lvlJc w:val="left"/>
      <w:pPr>
        <w:ind w:left="360" w:hanging="360"/>
      </w:pPr>
      <w:rPr>
        <w:color w:val="333333"/>
      </w:rPr>
    </w:lvl>
    <w:lvl w:ilvl="1">
      <w:start w:val="6"/>
      <w:numFmt w:val="decimal"/>
      <w:lvlText w:val="%1.%2"/>
      <w:lvlJc w:val="left"/>
      <w:pPr>
        <w:ind w:left="360" w:hanging="360"/>
      </w:pPr>
      <w:rPr>
        <w:color w:val="333333"/>
      </w:rPr>
    </w:lvl>
    <w:lvl w:ilvl="2">
      <w:start w:val="1"/>
      <w:numFmt w:val="decimal"/>
      <w:lvlText w:val="%1.%2.%3"/>
      <w:lvlJc w:val="left"/>
      <w:pPr>
        <w:ind w:left="720" w:hanging="720"/>
      </w:pPr>
      <w:rPr>
        <w:color w:val="333333"/>
      </w:rPr>
    </w:lvl>
    <w:lvl w:ilvl="3">
      <w:start w:val="1"/>
      <w:numFmt w:val="decimal"/>
      <w:lvlText w:val="%1.%2.%3.%4"/>
      <w:lvlJc w:val="left"/>
      <w:pPr>
        <w:ind w:left="720" w:hanging="720"/>
      </w:pPr>
      <w:rPr>
        <w:color w:val="333333"/>
      </w:rPr>
    </w:lvl>
    <w:lvl w:ilvl="4">
      <w:start w:val="1"/>
      <w:numFmt w:val="decimal"/>
      <w:lvlText w:val="%1.%2.%3.%4.%5"/>
      <w:lvlJc w:val="left"/>
      <w:pPr>
        <w:ind w:left="1080" w:hanging="1080"/>
      </w:pPr>
      <w:rPr>
        <w:color w:val="333333"/>
      </w:rPr>
    </w:lvl>
    <w:lvl w:ilvl="5">
      <w:start w:val="1"/>
      <w:numFmt w:val="decimal"/>
      <w:lvlText w:val="%1.%2.%3.%4.%5.%6"/>
      <w:lvlJc w:val="left"/>
      <w:pPr>
        <w:ind w:left="1080" w:hanging="1080"/>
      </w:pPr>
      <w:rPr>
        <w:color w:val="333333"/>
      </w:rPr>
    </w:lvl>
    <w:lvl w:ilvl="6">
      <w:start w:val="1"/>
      <w:numFmt w:val="decimal"/>
      <w:lvlText w:val="%1.%2.%3.%4.%5.%6.%7"/>
      <w:lvlJc w:val="left"/>
      <w:pPr>
        <w:ind w:left="1440" w:hanging="1440"/>
      </w:pPr>
      <w:rPr>
        <w:color w:val="333333"/>
      </w:rPr>
    </w:lvl>
    <w:lvl w:ilvl="7">
      <w:start w:val="1"/>
      <w:numFmt w:val="decimal"/>
      <w:lvlText w:val="%1.%2.%3.%4.%5.%6.%7.%8"/>
      <w:lvlJc w:val="left"/>
      <w:pPr>
        <w:ind w:left="1440" w:hanging="1440"/>
      </w:pPr>
      <w:rPr>
        <w:color w:val="333333"/>
      </w:rPr>
    </w:lvl>
    <w:lvl w:ilvl="8">
      <w:start w:val="1"/>
      <w:numFmt w:val="decimal"/>
      <w:lvlText w:val="%1.%2.%3.%4.%5.%6.%7.%8.%9"/>
      <w:lvlJc w:val="left"/>
      <w:pPr>
        <w:ind w:left="1800" w:hanging="1800"/>
      </w:pPr>
      <w:rPr>
        <w:color w:val="333333"/>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360" w:lineRule="auto"/>
      <w:ind w:left="1361" w:hanging="1361"/>
    </w:pPr>
    <w:rPr>
      <w:b w:val="1"/>
      <w:sz w:val="24"/>
      <w:szCs w:val="24"/>
    </w:rPr>
  </w:style>
  <w:style w:type="paragraph" w:styleId="Heading2">
    <w:name w:val="heading 2"/>
    <w:basedOn w:val="Normal"/>
    <w:next w:val="Normal"/>
    <w:pPr>
      <w:keepNext w:val="1"/>
      <w:keepLines w:val="1"/>
      <w:pageBreakBefore w:val="0"/>
      <w:spacing w:before="240" w:lineRule="auto"/>
      <w:ind w:left="1361"/>
    </w:pPr>
    <w:rPr>
      <w:b w:val="1"/>
    </w:rPr>
  </w:style>
  <w:style w:type="paragraph" w:styleId="Heading3">
    <w:name w:val="heading 3"/>
    <w:basedOn w:val="Normal"/>
    <w:next w:val="Normal"/>
    <w:pPr>
      <w:keepNext w:val="1"/>
      <w:keepLines w:val="1"/>
      <w:pageBreakBefore w:val="0"/>
      <w:spacing w:before="240" w:lineRule="auto"/>
      <w:ind w:left="1361"/>
    </w:pPr>
    <w:rPr>
      <w:i w:val="1"/>
    </w:rPr>
  </w:style>
  <w:style w:type="paragraph" w:styleId="Heading4">
    <w:name w:val="heading 4"/>
    <w:basedOn w:val="Normal"/>
    <w:next w:val="Normal"/>
    <w:pPr>
      <w:keepNext w:val="1"/>
      <w:keepLines w:val="1"/>
      <w:pageBreakBefore w:val="0"/>
      <w:spacing w:before="240" w:lineRule="auto"/>
      <w:ind w:left="1361"/>
    </w:pPr>
    <w:rPr/>
  </w:style>
  <w:style w:type="paragraph" w:styleId="Heading5">
    <w:name w:val="heading 5"/>
    <w:basedOn w:val="Normal"/>
    <w:next w:val="Normal"/>
    <w:pPr>
      <w:keepNext w:val="1"/>
      <w:keepLines w:val="1"/>
      <w:pageBreakBefore w:val="0"/>
      <w:spacing w:before="240" w:lineRule="auto"/>
      <w:ind w:left="1361"/>
    </w:pPr>
    <w:rPr>
      <w:i w:val="0"/>
    </w:rPr>
  </w:style>
  <w:style w:type="paragraph" w:styleId="Heading6">
    <w:name w:val="heading 6"/>
    <w:basedOn w:val="Normal"/>
    <w:next w:val="Normal"/>
    <w:pPr>
      <w:keepNext w:val="1"/>
      <w:keepLines w:val="1"/>
      <w:pageBreakBefore w:val="0"/>
      <w:spacing w:before="200" w:lineRule="auto"/>
    </w:pPr>
    <w:rPr>
      <w:rFonts w:ascii="Cambria" w:cs="Cambria" w:eastAsia="Cambria" w:hAnsi="Cambria"/>
      <w:i w:val="1"/>
      <w:color w:val="243f61"/>
    </w:rPr>
  </w:style>
  <w:style w:type="paragraph" w:styleId="Title">
    <w:name w:val="Title"/>
    <w:basedOn w:val="Normal"/>
    <w:next w:val="Normal"/>
    <w:pPr>
      <w:pageBreakBefore w:val="0"/>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pageBreakBefore w:val="0"/>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ons.gov.uk/peoplepopulationandcommunity/populationandmigration/populationprojections/methodologies/methodologyusedtoproducethesubnationalpopulationprojectionsforengland"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statistics/announcements/2014-based-household-projections-in-england-2014-to-2039"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projections/methodologies/methodologyusedtoproducethesubnationalpopulationprojectionsforengland#internal-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