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ageBreakBefore w:val="0"/>
        <w:tabs>
          <w:tab w:val="left" w:leader="none" w:pos="5300"/>
        </w:tabs>
        <w:rPr>
          <w:rFonts w:ascii="Arial" w:cs="Arial" w:eastAsia="Arial" w:hAnsi="Arial"/>
          <w:sz w:val="24"/>
          <w:szCs w:val="24"/>
        </w:rPr>
      </w:pPr>
      <w:r w:rsidDel="00000000" w:rsidR="00000000" w:rsidRPr="00000000">
        <w:rPr>
          <w:rFonts w:ascii="Arial" w:cs="Arial" w:eastAsia="Arial" w:hAnsi="Arial"/>
          <w:sz w:val="24"/>
          <w:szCs w:val="24"/>
          <w:rtl w:val="0"/>
        </w:rPr>
        <w:t xml:space="preserve">03.01.2017</w:t>
      </w:r>
    </w:p>
    <w:p w:rsidR="00000000" w:rsidDel="00000000" w:rsidP="00000000" w:rsidRDefault="00000000" w:rsidRPr="00000000" w14:paraId="00000009">
      <w:pPr>
        <w:pageBreakBefore w:val="0"/>
        <w:tabs>
          <w:tab w:val="left" w:leader="none" w:pos="530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530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Karen Britton</w:t>
      </w:r>
    </w:p>
    <w:p w:rsidR="00000000" w:rsidDel="00000000" w:rsidP="00000000" w:rsidRDefault="00000000" w:rsidRPr="00000000" w14:paraId="0000000B">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Planning Policy &amp; Heritage Manager</w:t>
      </w:r>
    </w:p>
    <w:p w:rsidR="00000000" w:rsidDel="00000000" w:rsidP="00000000" w:rsidRDefault="00000000" w:rsidRPr="00000000" w14:paraId="0000000C">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 City Council</w:t>
      </w:r>
    </w:p>
    <w:p w:rsidR="00000000" w:rsidDel="00000000" w:rsidP="00000000" w:rsidRDefault="00000000" w:rsidRPr="00000000" w14:paraId="0000000D">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Military Road</w:t>
      </w:r>
    </w:p>
    <w:p w:rsidR="00000000" w:rsidDel="00000000" w:rsidP="00000000" w:rsidRDefault="00000000" w:rsidRPr="00000000" w14:paraId="0000000E">
      <w:pPr>
        <w:pageBreakBefore w:val="0"/>
        <w:tabs>
          <w:tab w:val="left" w:leader="none" w:pos="5300"/>
        </w:tabs>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CT1 1`YW</w:t>
      </w:r>
    </w:p>
    <w:p w:rsidR="00000000" w:rsidDel="00000000" w:rsidP="00000000" w:rsidRDefault="00000000" w:rsidRPr="00000000" w14:paraId="0000000F">
      <w:pPr>
        <w:pageBreakBefore w:val="0"/>
        <w:tabs>
          <w:tab w:val="left" w:leader="none" w:pos="5300"/>
        </w:tabs>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Miss Britton.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Inspector thanks you for your letter of 22 December 2016.  There is only one matter in that letter that he would wish to clarify.  In terms of the status of the Main Modifications (MMs), he will need to take into account the consultation responses before finally concluding whether or not changes along those lines are required to make the plan sound.  At this stage therefore they are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proposed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MMs.   His final conclusions on the soundness of the plan will not be reached until he has considered the comments made in response to the formal MMs consultation.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tabs>
          <w:tab w:val="left" w:leader="none" w:pos="5300"/>
        </w:tabs>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4">
      <w:pPr>
        <w:pageBreakBefore w:val="0"/>
        <w:tabs>
          <w:tab w:val="left" w:leader="none" w:pos="5300"/>
        </w:tabs>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pageBreakBefore w:val="0"/>
        <w:tabs>
          <w:tab w:val="left" w:leader="none" w:pos="5300"/>
        </w:tabs>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Angela Furlong</w:t>
      </w:r>
    </w:p>
    <w:p w:rsidR="00000000" w:rsidDel="00000000" w:rsidP="00000000" w:rsidRDefault="00000000" w:rsidRPr="00000000" w14:paraId="00000016">
      <w:pPr>
        <w:pageBreakBefore w:val="0"/>
        <w:tabs>
          <w:tab w:val="left" w:leader="none" w:pos="5300"/>
        </w:tabs>
        <w:spacing w:after="0" w:lineRule="auto"/>
        <w:rPr/>
      </w:pPr>
      <w:r w:rsidDel="00000000" w:rsidR="00000000" w:rsidRPr="00000000">
        <w:rPr>
          <w:rFonts w:ascii="Arial" w:cs="Arial" w:eastAsia="Arial" w:hAnsi="Arial"/>
          <w:color w:val="000000"/>
          <w:sz w:val="24"/>
          <w:szCs w:val="24"/>
          <w:rtl w:val="0"/>
        </w:rPr>
        <w:t xml:space="preserve">Programme Officer</w:t>
      </w: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