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u w:val="single"/>
          <w:rtl w:val="0"/>
        </w:rPr>
        <w:t xml:space="preserve">Canterbury District Local Plan Documents prepared following consultation in June 2014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CDLP 1.3 Local Development Scheme September 2014 CCC (updated from May 2014 LDS to incorporate programme for Gypsy &amp; Traveller sites DPD)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CDLP 1.5 Planning Advisory Service checklists 2014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CDLP 1.13 Equality Impact Assessment 2014 CCC (updated from 2013 Assessment)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CDLP 1.14 Topic Paper Plan Vision &amp; Strategy November 2014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CDLP 3.6 Topic Paper Duty to Cooperate Statement 2014 CCC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CDLP 3.7 Publication Draft Summary of Main Issues Catherine Hughes Associates 2014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CDLP 5.2 East Kent Gypsy and Traveller Accommodation Assessment Report 2014 University of Salford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CDLP 5.4 Canterbury Housing Information Audit district report final 2014 Kent County Council CCC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CDLP 5.6 Topic Paper Housing November 2014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CDLP 8.6 Canterbury District Transport Strategy Revised Draft with Addendum 1 CCC (Nov14)(as proposed to be amended following consultation)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CDLP 9.6 Topic Paper Open Space &amp; Green Infrastructure Topic Paper CCC (Nov14)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CDLP 9.7 An East Kent Approach to Green Infrastructure and Recreation Report Evidence Base – Blackwood Bayne Consulting (April 2014)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CDLP 10.4 Topic Paper 3 Habitat Regulations Issues 18.11.2014 CCC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CDLP 10.9 Thanet Coast &amp; Sandwich Bay SPA Visitor Survey- Footprint Ecology (July 2014)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CDLP 10.10 Thames, Medway &amp; Swale Estuaries SAMM Strategy 22.7.14 - Footprint Ecology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CDLP 10.11 Canterbury CC SAMM APPENDIX (Nov 14) Hyland &amp; Bayne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CDLP 10.11 Canterbury CC SAMM MAIN REPORT (Nov 14) Hyland &amp; Bayne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CDLP 11.5 Further Economic Viability &amp; Whole Plan Assessment 2014 Adams Integra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CDLP 11.6 Draft Infrastructure Delivery Plan November 2014 CCC (subject to technical consultation)</w:t>
      </w:r>
    </w:p>
    <w:sectPr>
      <w:pgSz w:h="16830" w:w="11904" w:orient="portrait"/>
      <w:pgMar w:bottom="1304" w:top="1304" w:left="1361" w:right="1361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