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1"/>
          <w:u w:val="single"/>
        </w:rPr>
      </w:pPr>
      <w:bookmarkStart w:colFirst="0" w:colLast="0" w:name="_gjdgxs" w:id="0"/>
      <w:bookmarkEnd w:id="0"/>
      <w:r w:rsidDel="00000000" w:rsidR="00000000" w:rsidRPr="00000000">
        <w:rPr>
          <w:rFonts w:ascii="Arial" w:cs="Arial" w:eastAsia="Arial" w:hAnsi="Arial"/>
          <w:b w:val="1"/>
          <w:u w:val="single"/>
          <w:rtl w:val="0"/>
        </w:rPr>
        <w:t xml:space="preserve">Revised Five Year Land Supply Statement 20.07.15 – Canterbury City Council</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on from the hearing on Friday 17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the Council was asked to revisit the phasing of the Other Allocations sites, the inclusion of a windfall allowance for the first two years of the  5 year period  and the calculation of the  5 year supply.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at the hearing the issue of the first year of completions was raised for Strategic Site 9 Howe Barracks. This was originally based on the figures supplied as part of the planning application in 2014.  The application is due to be considered by Planning committee on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August 2015 with a recommendation to grant subject to completion of S106 agreement.  Given the time taken to progress the application,  the City Council is now of the opinion that the original phasing as detailed in the 60 units completion in the monitoring year of 2015-16 is now unlikely to be achieved.  As a result the 60 units have been removed from the monitoring period 2015-16.  Following further discussions with the Planning Agent for this site it is now suggested that a further 60 units be removed from 2016/17 therefore the revised phasing for the Howe Barracks site is set out in the table below.</w:t>
      </w:r>
    </w:p>
    <w:tbl>
      <w:tblPr>
        <w:tblStyle w:val="Table1"/>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1155"/>
        <w:gridCol w:w="1155"/>
        <w:gridCol w:w="1155"/>
        <w:gridCol w:w="1155"/>
        <w:gridCol w:w="1155"/>
        <w:gridCol w:w="1156"/>
        <w:gridCol w:w="1156"/>
        <w:tblGridChange w:id="0">
          <w:tblGrid>
            <w:gridCol w:w="1155"/>
            <w:gridCol w:w="1155"/>
            <w:gridCol w:w="1155"/>
            <w:gridCol w:w="1155"/>
            <w:gridCol w:w="1155"/>
            <w:gridCol w:w="1155"/>
            <w:gridCol w:w="1156"/>
            <w:gridCol w:w="1156"/>
          </w:tblGrid>
        </w:tblGridChange>
      </w:tblGrid>
      <w:tr>
        <w:trPr>
          <w:cantSplit w:val="0"/>
          <w:tblHeader w:val="0"/>
        </w:trPr>
        <w:tc>
          <w:tcPr/>
          <w:p w:rsidR="00000000" w:rsidDel="00000000" w:rsidP="00000000" w:rsidRDefault="00000000" w:rsidRPr="00000000" w14:paraId="00000005">
            <w:pPr>
              <w:pageBreakBefore w:val="0"/>
              <w:rPr>
                <w:rFonts w:ascii="Arial" w:cs="Arial" w:eastAsia="Arial" w:hAnsi="Arial"/>
              </w:rPr>
            </w:pPr>
            <w:r w:rsidDel="00000000" w:rsidR="00000000" w:rsidRPr="00000000">
              <w:rPr>
                <w:rFonts w:ascii="Arial" w:cs="Arial" w:eastAsia="Arial" w:hAnsi="Arial"/>
                <w:rtl w:val="0"/>
              </w:rPr>
              <w:t xml:space="preserve">2015/16</w:t>
            </w:r>
          </w:p>
        </w:tc>
        <w:tc>
          <w:tcPr/>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2016/17</w:t>
            </w:r>
          </w:p>
        </w:tc>
        <w:tc>
          <w:tcPr/>
          <w:p w:rsidR="00000000" w:rsidDel="00000000" w:rsidP="00000000" w:rsidRDefault="00000000" w:rsidRPr="00000000" w14:paraId="00000007">
            <w:pPr>
              <w:pageBreakBefore w:val="0"/>
              <w:rPr>
                <w:rFonts w:ascii="Arial" w:cs="Arial" w:eastAsia="Arial" w:hAnsi="Arial"/>
              </w:rPr>
            </w:pPr>
            <w:r w:rsidDel="00000000" w:rsidR="00000000" w:rsidRPr="00000000">
              <w:rPr>
                <w:rFonts w:ascii="Arial" w:cs="Arial" w:eastAsia="Arial" w:hAnsi="Arial"/>
                <w:rtl w:val="0"/>
              </w:rPr>
              <w:t xml:space="preserve">2017/18</w:t>
            </w:r>
          </w:p>
        </w:tc>
        <w:tc>
          <w:tcPr/>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rtl w:val="0"/>
              </w:rPr>
              <w:t xml:space="preserve">2018/19</w:t>
            </w:r>
          </w:p>
        </w:tc>
        <w:tc>
          <w:tcPr/>
          <w:p w:rsidR="00000000" w:rsidDel="00000000" w:rsidP="00000000" w:rsidRDefault="00000000" w:rsidRPr="00000000" w14:paraId="00000009">
            <w:pPr>
              <w:pageBreakBefore w:val="0"/>
              <w:rPr>
                <w:rFonts w:ascii="Arial" w:cs="Arial" w:eastAsia="Arial" w:hAnsi="Arial"/>
              </w:rPr>
            </w:pPr>
            <w:r w:rsidDel="00000000" w:rsidR="00000000" w:rsidRPr="00000000">
              <w:rPr>
                <w:rFonts w:ascii="Arial" w:cs="Arial" w:eastAsia="Arial" w:hAnsi="Arial"/>
                <w:rtl w:val="0"/>
              </w:rPr>
              <w:t xml:space="preserve">2019/20</w:t>
            </w:r>
          </w:p>
        </w:tc>
        <w:tc>
          <w:tcPr/>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2020/21</w:t>
            </w:r>
          </w:p>
        </w:tc>
        <w:tc>
          <w:tcPr/>
          <w:p w:rsidR="00000000" w:rsidDel="00000000" w:rsidP="00000000" w:rsidRDefault="00000000" w:rsidRPr="00000000" w14:paraId="0000000B">
            <w:pPr>
              <w:pageBreakBefore w:val="0"/>
              <w:rPr>
                <w:rFonts w:ascii="Arial" w:cs="Arial" w:eastAsia="Arial" w:hAnsi="Arial"/>
              </w:rPr>
            </w:pPr>
            <w:r w:rsidDel="00000000" w:rsidR="00000000" w:rsidRPr="00000000">
              <w:rPr>
                <w:rFonts w:ascii="Arial" w:cs="Arial" w:eastAsia="Arial" w:hAnsi="Arial"/>
                <w:rtl w:val="0"/>
              </w:rPr>
              <w:t xml:space="preserve">2021/22</w:t>
            </w:r>
          </w:p>
        </w:tc>
        <w:tc>
          <w:tcPr/>
          <w:p w:rsidR="00000000" w:rsidDel="00000000" w:rsidP="00000000" w:rsidRDefault="00000000" w:rsidRPr="00000000" w14:paraId="0000000C">
            <w:pPr>
              <w:pageBreakBefore w:val="0"/>
              <w:rPr>
                <w:rFonts w:ascii="Arial" w:cs="Arial" w:eastAsia="Arial" w:hAnsi="Arial"/>
              </w:rPr>
            </w:pPr>
            <w:r w:rsidDel="00000000" w:rsidR="00000000" w:rsidRPr="00000000">
              <w:rPr>
                <w:rFonts w:ascii="Arial" w:cs="Arial" w:eastAsia="Arial" w:hAnsi="Arial"/>
                <w:rtl w:val="0"/>
              </w:rPr>
              <w:t xml:space="preserve">2022/23</w:t>
            </w:r>
          </w:p>
        </w:tc>
      </w:tr>
      <w:tr>
        <w:trPr>
          <w:cantSplit w:val="0"/>
          <w:tblHeader w:val="0"/>
        </w:trPr>
        <w:tc>
          <w:tcPr/>
          <w:p w:rsidR="00000000" w:rsidDel="00000000" w:rsidP="00000000" w:rsidRDefault="00000000" w:rsidRPr="00000000" w14:paraId="0000000D">
            <w:pPr>
              <w:pageBreakBefore w:val="0"/>
              <w:rPr>
                <w:rFonts w:ascii="Arial" w:cs="Arial" w:eastAsia="Arial" w:hAnsi="Arial"/>
              </w:rPr>
            </w:pPr>
            <w:r w:rsidDel="00000000" w:rsidR="00000000" w:rsidRPr="00000000">
              <w:rPr>
                <w:rFonts w:ascii="Arial" w:cs="Arial" w:eastAsia="Arial" w:hAnsi="Arial"/>
                <w:rtl w:val="0"/>
              </w:rPr>
              <w:t xml:space="preserve">0</w:t>
            </w:r>
          </w:p>
        </w:tc>
        <w:tc>
          <w:tcPr/>
          <w:p w:rsidR="00000000" w:rsidDel="00000000" w:rsidP="00000000" w:rsidRDefault="00000000" w:rsidRPr="00000000" w14:paraId="0000000E">
            <w:pPr>
              <w:pageBreakBefore w:val="0"/>
              <w:rPr>
                <w:rFonts w:ascii="Arial" w:cs="Arial" w:eastAsia="Arial" w:hAnsi="Arial"/>
              </w:rPr>
            </w:pPr>
            <w:r w:rsidDel="00000000" w:rsidR="00000000" w:rsidRPr="00000000">
              <w:rPr>
                <w:rFonts w:ascii="Arial" w:cs="Arial" w:eastAsia="Arial" w:hAnsi="Arial"/>
                <w:rtl w:val="0"/>
              </w:rPr>
              <w:t xml:space="preserve">0</w:t>
            </w:r>
          </w:p>
        </w:tc>
        <w:tc>
          <w:tcPr/>
          <w:p w:rsidR="00000000" w:rsidDel="00000000" w:rsidP="00000000" w:rsidRDefault="00000000" w:rsidRPr="00000000" w14:paraId="0000000F">
            <w:pPr>
              <w:pageBreakBefore w:val="0"/>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010">
            <w:pPr>
              <w:pageBreakBefore w:val="0"/>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012">
            <w:pPr>
              <w:pageBreakBefore w:val="0"/>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013">
            <w:pPr>
              <w:pageBreakBefore w:val="0"/>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90</w:t>
            </w:r>
          </w:p>
        </w:tc>
      </w:tr>
    </w:tbl>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other adjustments have been made to the phasing of the other Strategic Sites as these sites will be the subject of further discussion at this week’s hearings.</w:t>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rPr>
      </w:pPr>
      <w:r w:rsidDel="00000000" w:rsidR="00000000" w:rsidRPr="00000000">
        <w:rPr>
          <w:rFonts w:ascii="Arial" w:cs="Arial" w:eastAsia="Arial" w:hAnsi="Arial"/>
          <w:b w:val="1"/>
          <w:rtl w:val="0"/>
        </w:rPr>
        <w:t xml:space="preserve">Other Allocations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Council has revisited the phasing of other allocations and adjusted these accordingly, in particular, the phasing that contributes to the 5 year supply particularly in the first two years.  The council has reassessed the phasing for the car park sites and the majority of these are now phased  post the 5 year supply pending further studies.  These are set out in the Other Allocations table below – highlighted rows indicate change.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rPr>
      </w:pPr>
      <w:r w:rsidDel="00000000" w:rsidR="00000000" w:rsidRPr="00000000">
        <w:rPr>
          <w:rFonts w:ascii="Arial" w:cs="Arial" w:eastAsia="Arial" w:hAnsi="Arial"/>
          <w:b w:val="1"/>
          <w:rtl w:val="0"/>
        </w:rPr>
        <w:t xml:space="preserve">Windfalls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the discussion at the hearing the Council has now removed a windfall allowance for the first three years of the 5 year supply.</w:t>
      </w:r>
    </w:p>
    <w:p w:rsidR="00000000" w:rsidDel="00000000" w:rsidP="00000000" w:rsidRDefault="00000000" w:rsidRPr="00000000" w14:paraId="0000001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rPr>
      </w:pPr>
      <w:r w:rsidDel="00000000" w:rsidR="00000000" w:rsidRPr="00000000">
        <w:rPr>
          <w:rFonts w:ascii="Arial" w:cs="Arial" w:eastAsia="Arial" w:hAnsi="Arial"/>
          <w:b w:val="1"/>
          <w:rtl w:val="0"/>
        </w:rPr>
        <w:t xml:space="preserve">Five year supply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440" w:top="1440" w:left="1440" w:right="1440" w:header="708" w:footer="708"/>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result of the above amendments to phasing, the Council has reassessed the 5 year land supply situation and have updated the Tables 1– 4 that were contained in the Council’s original statement.  Over the plan period there is a supply 14,292 units against a residual requirement of 13,977 units giving a 5 year supply of 4.2 years.  This is set out in in revised Table 2: Summary of Land Supply.</w:t>
      </w:r>
    </w:p>
    <w:p w:rsidR="00000000" w:rsidDel="00000000" w:rsidP="00000000" w:rsidRDefault="00000000" w:rsidRPr="00000000" w14:paraId="00000020">
      <w:pPr>
        <w:pageBreakBefore w:val="0"/>
        <w:jc w:val="right"/>
        <w:rPr>
          <w:rFonts w:ascii="Arial" w:cs="Arial" w:eastAsia="Arial" w:hAnsi="Arial"/>
          <w:b w:val="1"/>
        </w:rPr>
      </w:pPr>
      <w:r w:rsidDel="00000000" w:rsidR="00000000" w:rsidRPr="00000000">
        <w:rPr>
          <w:rFonts w:ascii="Arial" w:cs="Arial" w:eastAsia="Arial" w:hAnsi="Arial"/>
          <w:b w:val="1"/>
          <w:rtl w:val="0"/>
        </w:rPr>
        <w:t xml:space="preserve">APPENDIX</w:t>
      </w:r>
    </w:p>
    <w:p w:rsidR="00000000" w:rsidDel="00000000" w:rsidP="00000000" w:rsidRDefault="00000000" w:rsidRPr="00000000" w14:paraId="00000021">
      <w:pPr>
        <w:pageBreakBefore w:val="0"/>
        <w:rPr>
          <w:rFonts w:ascii="Arial" w:cs="Arial" w:eastAsia="Arial" w:hAnsi="Arial"/>
          <w:b w:val="1"/>
        </w:rPr>
      </w:pPr>
      <w:r w:rsidDel="00000000" w:rsidR="00000000" w:rsidRPr="00000000">
        <w:rPr>
          <w:rFonts w:ascii="Arial" w:cs="Arial" w:eastAsia="Arial" w:hAnsi="Arial"/>
          <w:b w:val="1"/>
          <w:rtl w:val="0"/>
        </w:rPr>
        <w:t xml:space="preserve">Other Allocations Revised Phasing</w:t>
      </w:r>
    </w:p>
    <w:tbl>
      <w:tblPr>
        <w:tblStyle w:val="Table2"/>
        <w:tblW w:w="12088.000000000002" w:type="dxa"/>
        <w:jc w:val="left"/>
        <w:tblInd w:w="-11.999999999999993" w:type="dxa"/>
        <w:tblLayout w:type="fixed"/>
        <w:tblLook w:val="0400"/>
      </w:tblPr>
      <w:tblGrid>
        <w:gridCol w:w="1273"/>
        <w:gridCol w:w="5036"/>
        <w:gridCol w:w="1284"/>
        <w:gridCol w:w="550"/>
        <w:gridCol w:w="459"/>
        <w:gridCol w:w="459"/>
        <w:gridCol w:w="459"/>
        <w:gridCol w:w="550"/>
        <w:gridCol w:w="550"/>
        <w:gridCol w:w="550"/>
        <w:gridCol w:w="459"/>
        <w:gridCol w:w="459"/>
        <w:tblGridChange w:id="0">
          <w:tblGrid>
            <w:gridCol w:w="1273"/>
            <w:gridCol w:w="5036"/>
            <w:gridCol w:w="1284"/>
            <w:gridCol w:w="550"/>
            <w:gridCol w:w="459"/>
            <w:gridCol w:w="459"/>
            <w:gridCol w:w="459"/>
            <w:gridCol w:w="550"/>
            <w:gridCol w:w="550"/>
            <w:gridCol w:w="550"/>
            <w:gridCol w:w="459"/>
            <w:gridCol w:w="459"/>
          </w:tblGrid>
        </w:tblGridChange>
      </w:tblGrid>
      <w:tr>
        <w:trPr>
          <w:cantSplit w:val="0"/>
          <w:trHeight w:val="2240" w:hRule="atLeast"/>
          <w:tblHeader w:val="0"/>
        </w:trPr>
        <w:tc>
          <w:tcPr>
            <w:tcBorders>
              <w:top w:color="000000" w:space="0" w:sz="4" w:val="single"/>
              <w:left w:color="000000" w:space="0" w:sz="4" w:val="single"/>
              <w:bottom w:color="000000" w:space="0" w:sz="4" w:val="single"/>
              <w:right w:color="000000" w:space="0" w:sz="0" w:val="nil"/>
            </w:tcBorders>
            <w:shd w:fill="c0c0c0" w:val="clear"/>
          </w:tcPr>
          <w:bookmarkStart w:colFirst="0" w:colLast="0" w:name="30j0zll" w:id="1"/>
          <w:bookmarkEnd w:id="1"/>
          <w:p w:rsidR="00000000" w:rsidDel="00000000" w:rsidP="00000000" w:rsidRDefault="00000000" w:rsidRPr="00000000" w14:paraId="00000022">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 No</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23">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Site Address 1</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4">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site address 2</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5">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Allocated</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6">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A_Phased_Y1  2014-15</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7">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A_Phased_Y2  2015-16</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8">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A_Phased_Y3  2016-17</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9">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A_Phased_Y4  2017-18</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A">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A_Phased_Yr5 2018-19</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B">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2019-24</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C">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2024-29</w:t>
            </w:r>
          </w:p>
        </w:tc>
        <w:tc>
          <w:tcPr>
            <w:tcBorders>
              <w:top w:color="000000" w:space="0" w:sz="4" w:val="single"/>
              <w:left w:color="000000" w:space="0" w:sz="0" w:val="nil"/>
              <w:bottom w:color="000000" w:space="0" w:sz="4" w:val="single"/>
              <w:right w:color="000000" w:space="0" w:sz="4" w:val="single"/>
            </w:tcBorders>
            <w:shd w:fill="c0c0c0" w:val="clear"/>
          </w:tcPr>
          <w:p w:rsidR="00000000" w:rsidDel="00000000" w:rsidP="00000000" w:rsidRDefault="00000000" w:rsidRPr="00000000" w14:paraId="0000002D">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2029-31</w:t>
            </w:r>
          </w:p>
        </w:tc>
      </w:tr>
      <w:tr>
        <w:trPr>
          <w:cantSplit w:val="0"/>
          <w:trHeight w:val="50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2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CA503</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BT Car Park, Upper Chantry Lane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58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3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CA488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White Horse Lane, Land East of</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04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CA483</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 East Sta (South side), Land at, Gordon Road</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D">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5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CA482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 East Station (North side) Car Park</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5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CA481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 West Station, Adj</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6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CA479</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 Park adj Registry Office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7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CA282</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7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 Johns Lane Employment Exch.</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7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0">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50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8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CA559</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Rough Common Rd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Harbledown</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8">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8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CA514</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 Sea Street, Adj</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9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CA491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 Station, Land at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A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CA426</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A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 Rd/Victoria Rd, Corner of</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D">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B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CA340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B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Garage Site, Kings Road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0B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CA530</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B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Ladysmith Grove  (UCS Site W17), Land at</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6">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2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C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CA527</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C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Builders Yard r/o 3 Belmont Road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6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D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CA310</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Beresford Road North and South</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0E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CA309</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E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 Street (Green's Warehouse)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E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CA308</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 &amp; adjoining Middle Wall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6">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4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F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CA305</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Hamilton Rd, Adj</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2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0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CA554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8-12 Pilgrims Way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1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CA524</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Tankerton Rd car park &amp; (garage -  CA/03/0364)</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7">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8">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B">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1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1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CA507</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Castle Street Car Park</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2">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3">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4">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6">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7">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8">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9">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2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CA500</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2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 Cadets Centre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F">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50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3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CA477</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3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Holmans Meadow Car Park</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C">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F">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52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4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CA347</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Ivy Lane North</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7">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4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CA286</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4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 John's Lane Car Park</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3">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7">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2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5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CA281</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5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Hawks Lane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C">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E">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F">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0">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2">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3">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4">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5">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4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6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CA278</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6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Northgate Car Park</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E">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6F">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7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CA047</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 Radigund's Place</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7">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B">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7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6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7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CA043B</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7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Rosemary Lane Car Park</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6">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8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8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CA480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Kingsmead depot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D">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6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19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CA375/HB3</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 Bus Depot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50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1A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HB1</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Central Development Area (Herne Bay Area Action Plan)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A">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80" w:hRule="atLeast"/>
          <w:tblHeader w:val="0"/>
        </w:trPr>
        <w:tc>
          <w:tcPr>
            <w:tcBorders>
              <w:top w:color="000000" w:space="0" w:sz="0" w:val="nil"/>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1A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HB2</w:t>
            </w:r>
          </w:p>
        </w:tc>
        <w:tc>
          <w:tcPr>
            <w:tcBorders>
              <w:top w:color="000000" w:space="0" w:sz="0" w:val="nil"/>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A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Beach Street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(Herne Bay Area Action Plan)</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Herne Bay</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1">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3">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5">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 Essex Street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D">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2">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CA297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Adjacent to 100 Albert street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whitstable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pageBreakBefore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D">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E">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Units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2">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3">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8">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9">
            <w:pPr>
              <w:pageBreakBefore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w:t>
            </w:r>
          </w:p>
        </w:tc>
      </w:tr>
    </w:tbl>
    <w:p w:rsidR="00000000" w:rsidDel="00000000" w:rsidP="00000000" w:rsidRDefault="00000000" w:rsidRPr="00000000" w14:paraId="000001EA">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E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1EC">
      <w:pPr>
        <w:pageBreakBefore w:val="0"/>
        <w:rPr>
          <w:rFonts w:ascii="Arial" w:cs="Arial" w:eastAsia="Arial" w:hAnsi="Arial"/>
          <w:b w:val="1"/>
        </w:rPr>
      </w:pPr>
      <w:r w:rsidDel="00000000" w:rsidR="00000000" w:rsidRPr="00000000">
        <w:rPr>
          <w:rFonts w:ascii="Arial" w:cs="Arial" w:eastAsia="Arial" w:hAnsi="Arial"/>
          <w:b w:val="1"/>
          <w:rtl w:val="0"/>
        </w:rPr>
        <w:t xml:space="preserve">Revised Table 1: Demonstrating 5 year Land Supply Revised June 2015  </w:t>
      </w:r>
    </w:p>
    <w:tbl>
      <w:tblPr>
        <w:tblStyle w:val="Table3"/>
        <w:tblW w:w="11345.0" w:type="dxa"/>
        <w:jc w:val="left"/>
        <w:tblInd w:w="-11.999999999999993" w:type="dxa"/>
        <w:tblLayout w:type="fixed"/>
        <w:tblLook w:val="0400"/>
      </w:tblPr>
      <w:tblGrid>
        <w:gridCol w:w="4393"/>
        <w:gridCol w:w="1180"/>
        <w:gridCol w:w="1180"/>
        <w:gridCol w:w="1103"/>
        <w:gridCol w:w="1134"/>
        <w:gridCol w:w="1080"/>
        <w:gridCol w:w="1275"/>
        <w:tblGridChange w:id="0">
          <w:tblGrid>
            <w:gridCol w:w="4393"/>
            <w:gridCol w:w="1180"/>
            <w:gridCol w:w="1180"/>
            <w:gridCol w:w="1103"/>
            <w:gridCol w:w="1134"/>
            <w:gridCol w:w="1080"/>
            <w:gridCol w:w="1275"/>
          </w:tblGrid>
        </w:tblGridChange>
      </w:tblGrid>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1ED">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Site name</w:t>
            </w: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rtl w:val="0"/>
              </w:rPr>
              <w:t xml:space="preserve"> Source of land supply</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1EE">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No. of units</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1EF">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2014-15</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1F0">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2015-16</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1F1">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2016-17</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1F2">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2017-18</w:t>
            </w:r>
          </w:p>
        </w:tc>
        <w:tc>
          <w:tcPr>
            <w:tcBorders>
              <w:top w:color="000000" w:space="0" w:sz="4" w:val="single"/>
              <w:left w:color="000000" w:space="0" w:sz="0" w:val="nil"/>
              <w:bottom w:color="000000" w:space="0" w:sz="4" w:val="single"/>
              <w:right w:color="000000" w:space="0" w:sz="12" w:val="single"/>
            </w:tcBorders>
            <w:shd w:fill="bfbfbf" w:val="clear"/>
            <w:vAlign w:val="bottom"/>
          </w:tcPr>
          <w:p w:rsidR="00000000" w:rsidDel="00000000" w:rsidP="00000000" w:rsidRDefault="00000000" w:rsidRPr="00000000" w14:paraId="000001F3">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2018-19</w:t>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1 Land at South 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4000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1F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200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2 Land At Sturry/Broad Oak</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0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175</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3 Land at Hillborough, Herne Bay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1300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0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4 Land at Herne Bay Golf Course, Herne Bay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600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0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0">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5 Land at Strode Farm, Herne Bay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2">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1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6 Land at Greenhill, Herne Bay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1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110</w:t>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E">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7 North of Thanet Way, Whitstable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400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2">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2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8 Land North of Hersden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500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2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C">
            <w:pPr>
              <w:pageBreakBefore w:val="0"/>
              <w:spacing w:after="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Site 9 Land at Howe Barracks, 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D">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E">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F">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0">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1">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80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32">
            <w:pPr>
              <w:pageBreakBefore w:val="0"/>
              <w:spacing w:after="0" w:lineRule="auto"/>
              <w:jc w:val="right"/>
              <w:rPr>
                <w:rFonts w:ascii="Arial" w:cs="Arial" w:eastAsia="Arial" w:hAnsi="Arial"/>
              </w:rPr>
            </w:pPr>
            <w:r w:rsidDel="00000000" w:rsidR="00000000" w:rsidRPr="00000000">
              <w:rPr>
                <w:rFonts w:ascii="Arial" w:cs="Arial" w:eastAsia="Arial" w:hAnsi="Arial"/>
                <w:highlight w:val="yellow"/>
                <w:rtl w:val="0"/>
              </w:rPr>
              <w:t xml:space="preserve">90</w:t>
            </w:r>
            <w:r w:rsidDel="00000000" w:rsidR="00000000" w:rsidRPr="00000000">
              <w:rPr>
                <w:rtl w:val="0"/>
              </w:rPr>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Site 10 Land at Ridlands Farm / Hospital site, 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3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50</w:t>
            </w:r>
          </w:p>
        </w:tc>
      </w:tr>
      <w:tr>
        <w:trPr>
          <w:cantSplit w:val="0"/>
          <w:trHeight w:val="7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St Martin's Hospital , Canterbury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0" w:val="nil"/>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4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100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Land at Bullockstone Road, Herne Bay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190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4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Spires, Land at Bredlands Lane, Sturry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81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4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Barham Court Farm, Barham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2">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4">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5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Land at Baker's Lane, Chartham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9">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A">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B">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5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Kingsmead Field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2">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63">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15</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Other allocations total units per year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715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8">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9">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388</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6A">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121</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extant pp as at 31st March 2014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C">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904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D">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302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E">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365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F">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166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71">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Windfall allowance of 138 pa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3">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1932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pageBreakBefore w:val="0"/>
              <w:spacing w:after="0" w:lineRule="auto"/>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12" w:val="single"/>
            </w:tcBorders>
            <w:shd w:fill="auto" w:val="clear"/>
            <w:vAlign w:val="bottom"/>
          </w:tcPr>
          <w:p w:rsidR="00000000" w:rsidDel="00000000" w:rsidP="00000000" w:rsidRDefault="00000000" w:rsidRPr="00000000" w14:paraId="00000278">
            <w:pPr>
              <w:pageBreakBefore w:val="0"/>
              <w:spacing w:after="0" w:lineRule="auto"/>
              <w:jc w:val="right"/>
              <w:rPr>
                <w:rFonts w:ascii="Arial" w:cs="Arial" w:eastAsia="Arial" w:hAnsi="Arial"/>
              </w:rPr>
            </w:pPr>
            <w:r w:rsidDel="00000000" w:rsidR="00000000" w:rsidRPr="00000000">
              <w:rPr>
                <w:rFonts w:ascii="Arial" w:cs="Arial" w:eastAsia="Arial" w:hAnsi="Arial"/>
                <w:rtl w:val="0"/>
              </w:rPr>
              <w:t xml:space="preserve">138</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279">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Total number of units</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7A">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14292</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7B">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302</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7C">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365</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7D">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555</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7E">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1337</w:t>
            </w:r>
          </w:p>
        </w:tc>
        <w:tc>
          <w:tcPr>
            <w:tcBorders>
              <w:top w:color="000000" w:space="0" w:sz="4" w:val="single"/>
              <w:left w:color="000000" w:space="0" w:sz="0" w:val="nil"/>
              <w:bottom w:color="000000" w:space="0" w:sz="4" w:val="single"/>
              <w:right w:color="000000" w:space="0" w:sz="12" w:val="single"/>
            </w:tcBorders>
            <w:shd w:fill="bfbfbf" w:val="clear"/>
            <w:vAlign w:val="bottom"/>
          </w:tcPr>
          <w:p w:rsidR="00000000" w:rsidDel="00000000" w:rsidP="00000000" w:rsidRDefault="00000000" w:rsidRPr="00000000" w14:paraId="0000027F">
            <w:pPr>
              <w:pageBreakBefore w:val="0"/>
              <w:spacing w:after="0" w:lineRule="auto"/>
              <w:jc w:val="righ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1069</w:t>
            </w:r>
          </w:p>
        </w:tc>
      </w:tr>
    </w:tbl>
    <w:p w:rsidR="00000000" w:rsidDel="00000000" w:rsidP="00000000" w:rsidRDefault="00000000" w:rsidRPr="00000000" w14:paraId="00000280">
      <w:pPr>
        <w:pageBreakBefore w:val="0"/>
        <w:rPr>
          <w:rFonts w:ascii="Arial" w:cs="Arial" w:eastAsia="Arial" w:hAnsi="Arial"/>
          <w:highlight w:val="yellow"/>
        </w:rPr>
      </w:pPr>
      <w:r w:rsidDel="00000000" w:rsidR="00000000" w:rsidRPr="00000000">
        <w:rPr>
          <w:rtl w:val="0"/>
        </w:rPr>
      </w:r>
    </w:p>
    <w:p w:rsidR="00000000" w:rsidDel="00000000" w:rsidP="00000000" w:rsidRDefault="00000000" w:rsidRPr="00000000" w14:paraId="00000281">
      <w:pPr>
        <w:pageBreakBefore w:val="0"/>
        <w:rPr>
          <w:rFonts w:ascii="Arial" w:cs="Arial" w:eastAsia="Arial" w:hAnsi="Arial"/>
          <w:b w:val="1"/>
        </w:rPr>
      </w:pPr>
      <w:r w:rsidDel="00000000" w:rsidR="00000000" w:rsidRPr="00000000">
        <w:rPr>
          <w:rFonts w:ascii="Arial" w:cs="Arial" w:eastAsia="Arial" w:hAnsi="Arial"/>
          <w:b w:val="1"/>
          <w:rtl w:val="0"/>
        </w:rPr>
        <w:t xml:space="preserve">Revised Table 2: Summary of land supply</w:t>
      </w:r>
    </w:p>
    <w:tbl>
      <w:tblPr>
        <w:tblStyle w:val="Table4"/>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559"/>
        <w:tblGridChange w:id="0">
          <w:tblGrid>
            <w:gridCol w:w="4621"/>
            <w:gridCol w:w="4559"/>
          </w:tblGrid>
        </w:tblGridChange>
      </w:tblGrid>
      <w:tr>
        <w:trPr>
          <w:cantSplit w:val="0"/>
          <w:tblHeader w:val="0"/>
        </w:trPr>
        <w:tc>
          <w:tcPr/>
          <w:p w:rsidR="00000000" w:rsidDel="00000000" w:rsidP="00000000" w:rsidRDefault="00000000" w:rsidRPr="00000000" w14:paraId="00000282">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Requirement 2011-2031</w:t>
            </w:r>
          </w:p>
          <w:p w:rsidR="00000000" w:rsidDel="00000000" w:rsidP="00000000" w:rsidRDefault="00000000" w:rsidRPr="00000000" w14:paraId="00000283">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4">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15,600   </w:t>
            </w:r>
          </w:p>
        </w:tc>
      </w:tr>
      <w:tr>
        <w:trPr>
          <w:cantSplit w:val="0"/>
          <w:tblHeader w:val="0"/>
        </w:trPr>
        <w:tc>
          <w:tcPr/>
          <w:p w:rsidR="00000000" w:rsidDel="00000000" w:rsidP="00000000" w:rsidRDefault="00000000" w:rsidRPr="00000000" w14:paraId="0000028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Completions 2011-14</w:t>
            </w:r>
          </w:p>
          <w:p w:rsidR="00000000" w:rsidDel="00000000" w:rsidP="00000000" w:rsidRDefault="00000000" w:rsidRPr="00000000" w14:paraId="00000286">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7">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1623</w:t>
            </w:r>
          </w:p>
        </w:tc>
      </w:tr>
      <w:tr>
        <w:trPr>
          <w:cantSplit w:val="0"/>
          <w:tblHeader w:val="0"/>
        </w:trPr>
        <w:tc>
          <w:tcPr/>
          <w:p w:rsidR="00000000" w:rsidDel="00000000" w:rsidP="00000000" w:rsidRDefault="00000000" w:rsidRPr="00000000" w14:paraId="00000288">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Residual requirement  </w:t>
            </w:r>
          </w:p>
          <w:p w:rsidR="00000000" w:rsidDel="00000000" w:rsidP="00000000" w:rsidRDefault="00000000" w:rsidRPr="00000000" w14:paraId="00000289">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A">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13977</w:t>
            </w:r>
          </w:p>
        </w:tc>
      </w:tr>
      <w:tr>
        <w:trPr>
          <w:cantSplit w:val="0"/>
          <w:tblHeader w:val="0"/>
        </w:trPr>
        <w:tc>
          <w:tcPr/>
          <w:p w:rsidR="00000000" w:rsidDel="00000000" w:rsidP="00000000" w:rsidRDefault="00000000" w:rsidRPr="00000000" w14:paraId="0000028B">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Number of units required (annually) 2014-31 for remaining 17 years</w:t>
            </w:r>
          </w:p>
          <w:p w:rsidR="00000000" w:rsidDel="00000000" w:rsidP="00000000" w:rsidRDefault="00000000" w:rsidRPr="00000000" w14:paraId="0000028C">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8D">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822</w:t>
            </w:r>
          </w:p>
        </w:tc>
      </w:tr>
      <w:tr>
        <w:trPr>
          <w:cantSplit w:val="0"/>
          <w:tblHeader w:val="0"/>
        </w:trPr>
        <w:tc>
          <w:tcPr/>
          <w:p w:rsidR="00000000" w:rsidDel="00000000" w:rsidP="00000000" w:rsidRDefault="00000000" w:rsidRPr="00000000" w14:paraId="0000028E">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5 year requirement = 822x5</w:t>
            </w:r>
          </w:p>
          <w:p w:rsidR="00000000" w:rsidDel="00000000" w:rsidP="00000000" w:rsidRDefault="00000000" w:rsidRPr="00000000" w14:paraId="0000028F">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0">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4110</w:t>
            </w:r>
          </w:p>
        </w:tc>
      </w:tr>
      <w:tr>
        <w:trPr>
          <w:cantSplit w:val="0"/>
          <w:tblHeader w:val="0"/>
        </w:trPr>
        <w:tc>
          <w:tcPr/>
          <w:p w:rsidR="00000000" w:rsidDel="00000000" w:rsidP="00000000" w:rsidRDefault="00000000" w:rsidRPr="00000000" w14:paraId="00000291">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5% buffer = 4110x5%</w:t>
            </w:r>
          </w:p>
          <w:p w:rsidR="00000000" w:rsidDel="00000000" w:rsidP="00000000" w:rsidRDefault="00000000" w:rsidRPr="00000000" w14:paraId="00000292">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3">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206</w:t>
            </w:r>
          </w:p>
        </w:tc>
      </w:tr>
      <w:tr>
        <w:trPr>
          <w:cantSplit w:val="0"/>
          <w:tblHeader w:val="0"/>
        </w:trPr>
        <w:tc>
          <w:tcPr/>
          <w:p w:rsidR="00000000" w:rsidDel="00000000" w:rsidP="00000000" w:rsidRDefault="00000000" w:rsidRPr="00000000" w14:paraId="00000294">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Total 5 year requirement (including 5% buffer of 206)</w:t>
            </w:r>
          </w:p>
          <w:p w:rsidR="00000000" w:rsidDel="00000000" w:rsidP="00000000" w:rsidRDefault="00000000" w:rsidRPr="00000000" w14:paraId="00000295">
            <w:pPr>
              <w:pageBreakBefore w:val="0"/>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96">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4316</w:t>
            </w:r>
          </w:p>
        </w:tc>
      </w:tr>
      <w:tr>
        <w:trPr>
          <w:cantSplit w:val="0"/>
          <w:tblHeader w:val="0"/>
        </w:trPr>
        <w:tc>
          <w:tcPr/>
          <w:p w:rsidR="00000000" w:rsidDel="00000000" w:rsidP="00000000" w:rsidRDefault="00000000" w:rsidRPr="00000000" w14:paraId="00000297">
            <w:pPr>
              <w:pageBreakBefore w:val="0"/>
              <w:spacing w:line="276" w:lineRule="auto"/>
              <w:rPr>
                <w:rFonts w:ascii="Arial" w:cs="Arial" w:eastAsia="Arial" w:hAnsi="Arial"/>
                <w:highlight w:val="yellow"/>
              </w:rPr>
            </w:pPr>
            <w:r w:rsidDel="00000000" w:rsidR="00000000" w:rsidRPr="00000000">
              <w:rPr>
                <w:rFonts w:ascii="Arial" w:cs="Arial" w:eastAsia="Arial" w:hAnsi="Arial"/>
                <w:highlight w:val="yellow"/>
                <w:rtl w:val="0"/>
              </w:rPr>
              <w:t xml:space="preserve">Total supply for 5 year land requirement (2014-19)</w:t>
            </w:r>
          </w:p>
          <w:p w:rsidR="00000000" w:rsidDel="00000000" w:rsidP="00000000" w:rsidRDefault="00000000" w:rsidRPr="00000000" w14:paraId="00000298">
            <w:pPr>
              <w:pageBreakBefore w:val="0"/>
              <w:spacing w:line="276" w:lineRule="auto"/>
              <w:rPr>
                <w:rFonts w:ascii="Arial" w:cs="Arial" w:eastAsia="Arial" w:hAnsi="Arial"/>
                <w:highlight w:val="yellow"/>
              </w:rPr>
            </w:pPr>
            <w:r w:rsidDel="00000000" w:rsidR="00000000" w:rsidRPr="00000000">
              <w:rPr>
                <w:rtl w:val="0"/>
              </w:rPr>
            </w:r>
          </w:p>
        </w:tc>
        <w:tc>
          <w:tcPr/>
          <w:p w:rsidR="00000000" w:rsidDel="00000000" w:rsidP="00000000" w:rsidRDefault="00000000" w:rsidRPr="00000000" w14:paraId="00000299">
            <w:pPr>
              <w:pageBreakBefore w:val="0"/>
              <w:spacing w:line="276" w:lineRule="auto"/>
              <w:rPr>
                <w:rFonts w:ascii="Arial" w:cs="Arial" w:eastAsia="Arial" w:hAnsi="Arial"/>
              </w:rPr>
            </w:pPr>
            <w:r w:rsidDel="00000000" w:rsidR="00000000" w:rsidRPr="00000000">
              <w:rPr>
                <w:rFonts w:ascii="Arial" w:cs="Arial" w:eastAsia="Arial" w:hAnsi="Arial"/>
                <w:highlight w:val="yellow"/>
                <w:rtl w:val="0"/>
              </w:rPr>
              <w:t xml:space="preserve">3628 (3628/863) </w:t>
            </w:r>
            <w:r w:rsidDel="00000000" w:rsidR="00000000" w:rsidRPr="00000000">
              <w:rPr>
                <w:rFonts w:ascii="Arial" w:cs="Arial" w:eastAsia="Arial" w:hAnsi="Arial"/>
                <w:b w:val="1"/>
                <w:highlight w:val="yellow"/>
                <w:rtl w:val="0"/>
              </w:rPr>
              <w:t xml:space="preserve">equates to 4.2 years</w:t>
            </w:r>
            <w:r w:rsidDel="00000000" w:rsidR="00000000" w:rsidRPr="00000000">
              <w:rPr>
                <w:rtl w:val="0"/>
              </w:rPr>
            </w:r>
          </w:p>
        </w:tc>
      </w:tr>
    </w:tbl>
    <w:p w:rsidR="00000000" w:rsidDel="00000000" w:rsidP="00000000" w:rsidRDefault="00000000" w:rsidRPr="00000000" w14:paraId="0000029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29B">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9C">
      <w:pPr>
        <w:pageBreakBefore w:val="0"/>
        <w:rPr>
          <w:rFonts w:ascii="Arial" w:cs="Arial" w:eastAsia="Arial" w:hAnsi="Arial"/>
          <w:b w:val="1"/>
        </w:rPr>
      </w:pPr>
      <w:r w:rsidDel="00000000" w:rsidR="00000000" w:rsidRPr="00000000">
        <w:rPr>
          <w:rFonts w:ascii="Arial" w:cs="Arial" w:eastAsia="Arial" w:hAnsi="Arial"/>
          <w:b w:val="1"/>
          <w:rtl w:val="0"/>
        </w:rPr>
        <w:t xml:space="preserve">Revised Table 3: Revised summary of land supply over the plan period 20/07/15 following hearing on matter 2 Housing Strategy 17.07.15</w:t>
      </w:r>
    </w:p>
    <w:tbl>
      <w:tblPr>
        <w:tblStyle w:val="Table5"/>
        <w:tblW w:w="14375.0" w:type="dxa"/>
        <w:jc w:val="left"/>
        <w:tblInd w:w="-115.0" w:type="dxa"/>
        <w:tblLayout w:type="fixed"/>
        <w:tblLook w:val="0400"/>
      </w:tblPr>
      <w:tblGrid>
        <w:gridCol w:w="1629"/>
        <w:gridCol w:w="978"/>
        <w:gridCol w:w="696"/>
        <w:gridCol w:w="653"/>
        <w:gridCol w:w="704"/>
        <w:gridCol w:w="707"/>
        <w:gridCol w:w="707"/>
        <w:gridCol w:w="699"/>
        <w:gridCol w:w="676"/>
        <w:gridCol w:w="713"/>
        <w:gridCol w:w="690"/>
        <w:gridCol w:w="690"/>
        <w:gridCol w:w="690"/>
        <w:gridCol w:w="690"/>
        <w:gridCol w:w="690"/>
        <w:gridCol w:w="690"/>
        <w:gridCol w:w="690"/>
        <w:gridCol w:w="690"/>
        <w:gridCol w:w="693"/>
        <w:tblGridChange w:id="0">
          <w:tblGrid>
            <w:gridCol w:w="1629"/>
            <w:gridCol w:w="978"/>
            <w:gridCol w:w="696"/>
            <w:gridCol w:w="653"/>
            <w:gridCol w:w="704"/>
            <w:gridCol w:w="707"/>
            <w:gridCol w:w="707"/>
            <w:gridCol w:w="699"/>
            <w:gridCol w:w="676"/>
            <w:gridCol w:w="713"/>
            <w:gridCol w:w="690"/>
            <w:gridCol w:w="690"/>
            <w:gridCol w:w="690"/>
            <w:gridCol w:w="690"/>
            <w:gridCol w:w="690"/>
            <w:gridCol w:w="690"/>
            <w:gridCol w:w="690"/>
            <w:gridCol w:w="690"/>
            <w:gridCol w:w="693"/>
          </w:tblGrid>
        </w:tblGridChange>
      </w:tblGrid>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29D">
            <w:pPr>
              <w:pageBreakBefore w:val="0"/>
              <w:rPr>
                <w:rFonts w:ascii="Arial" w:cs="Arial" w:eastAsia="Arial" w:hAnsi="Arial"/>
                <w:b w:val="1"/>
              </w:rPr>
            </w:pPr>
            <w:r w:rsidDel="00000000" w:rsidR="00000000" w:rsidRPr="00000000">
              <w:rPr>
                <w:rFonts w:ascii="Arial" w:cs="Arial" w:eastAsia="Arial" w:hAnsi="Arial"/>
                <w:b w:val="1"/>
                <w:rtl w:val="0"/>
              </w:rPr>
              <w:t xml:space="preserve">Source of land supply</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9E">
            <w:pPr>
              <w:pageBreakBefore w:val="0"/>
              <w:rPr>
                <w:rFonts w:ascii="Arial" w:cs="Arial" w:eastAsia="Arial" w:hAnsi="Arial"/>
                <w:b w:val="1"/>
              </w:rPr>
            </w:pPr>
            <w:r w:rsidDel="00000000" w:rsidR="00000000" w:rsidRPr="00000000">
              <w:rPr>
                <w:rFonts w:ascii="Arial" w:cs="Arial" w:eastAsia="Arial" w:hAnsi="Arial"/>
                <w:b w:val="1"/>
                <w:rtl w:val="0"/>
              </w:rPr>
              <w:t xml:space="preserve">Total No. of units</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9F">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2014-15</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0">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2015-16</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1">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2016-17</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2">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2017-18</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3">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2018-19</w:t>
            </w:r>
          </w:p>
        </w:tc>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2A4">
            <w:pPr>
              <w:pageBreakBefore w:val="0"/>
              <w:ind w:left="113" w:right="113"/>
              <w:rPr>
                <w:rFonts w:ascii="Arial" w:cs="Arial" w:eastAsia="Arial" w:hAnsi="Arial"/>
                <w:b w:val="1"/>
              </w:rPr>
            </w:pPr>
            <w:r w:rsidDel="00000000" w:rsidR="00000000" w:rsidRPr="00000000">
              <w:rPr>
                <w:rFonts w:ascii="Arial" w:cs="Arial" w:eastAsia="Arial" w:hAnsi="Arial"/>
                <w:b w:val="1"/>
                <w:rtl w:val="0"/>
              </w:rPr>
              <w:t xml:space="preserve">2019-20</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5">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2020-21</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6">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2021-22</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7">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2022-23</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8">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2023-24</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9">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2024-25</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A">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2025-26</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B">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2026-27</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C">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2027-28</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D">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2028-29</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E">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2029-30</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2AF">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2030-31</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0">
            <w:pPr>
              <w:pageBreakBefore w:val="0"/>
              <w:rPr>
                <w:rFonts w:ascii="Arial" w:cs="Arial" w:eastAsia="Arial" w:hAnsi="Arial"/>
              </w:rPr>
            </w:pPr>
            <w:r w:rsidDel="00000000" w:rsidR="00000000" w:rsidRPr="00000000">
              <w:rPr>
                <w:rFonts w:ascii="Arial" w:cs="Arial" w:eastAsia="Arial" w:hAnsi="Arial"/>
                <w:rtl w:val="0"/>
              </w:rPr>
              <w:t xml:space="preserve">Strategic Sites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1">
            <w:pPr>
              <w:pageBreakBefore w:val="0"/>
              <w:rPr>
                <w:rFonts w:ascii="Arial" w:cs="Arial" w:eastAsia="Arial" w:hAnsi="Arial"/>
              </w:rPr>
            </w:pPr>
            <w:r w:rsidDel="00000000" w:rsidR="00000000" w:rsidRPr="00000000">
              <w:rPr>
                <w:rFonts w:ascii="Arial" w:cs="Arial" w:eastAsia="Arial" w:hAnsi="Arial"/>
                <w:rtl w:val="0"/>
              </w:rPr>
              <w:t xml:space="preserve">10,210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pageBreakBefore w:val="0"/>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4">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315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625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710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7">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635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8">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770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9">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685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A">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900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pageBreakBefore w:val="0"/>
              <w:jc w:val="right"/>
              <w:rPr>
                <w:rFonts w:ascii="Arial" w:cs="Arial" w:eastAsia="Arial" w:hAnsi="Arial"/>
              </w:rPr>
            </w:pPr>
            <w:r w:rsidDel="00000000" w:rsidR="00000000" w:rsidRPr="00000000">
              <w:rPr>
                <w:rFonts w:ascii="Arial" w:cs="Arial" w:eastAsia="Arial" w:hAnsi="Arial"/>
                <w:rtl w:val="0"/>
              </w:rPr>
              <w:t xml:space="preserve">820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C">
            <w:pPr>
              <w:pageBreakBefore w:val="0"/>
              <w:jc w:val="right"/>
              <w:rPr>
                <w:rFonts w:ascii="Arial" w:cs="Arial" w:eastAsia="Arial" w:hAnsi="Arial"/>
              </w:rPr>
            </w:pPr>
            <w:r w:rsidDel="00000000" w:rsidR="00000000" w:rsidRPr="00000000">
              <w:rPr>
                <w:rFonts w:ascii="Arial" w:cs="Arial" w:eastAsia="Arial" w:hAnsi="Arial"/>
                <w:rtl w:val="0"/>
              </w:rPr>
              <w:t xml:space="preserve">830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D">
            <w:pPr>
              <w:pageBreakBefore w:val="0"/>
              <w:jc w:val="right"/>
              <w:rPr>
                <w:rFonts w:ascii="Arial" w:cs="Arial" w:eastAsia="Arial" w:hAnsi="Arial"/>
              </w:rPr>
            </w:pPr>
            <w:r w:rsidDel="00000000" w:rsidR="00000000" w:rsidRPr="00000000">
              <w:rPr>
                <w:rFonts w:ascii="Arial" w:cs="Arial" w:eastAsia="Arial" w:hAnsi="Arial"/>
                <w:rtl w:val="0"/>
              </w:rPr>
              <w:t xml:space="preserve">770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E">
            <w:pPr>
              <w:pageBreakBefore w:val="0"/>
              <w:jc w:val="right"/>
              <w:rPr>
                <w:rFonts w:ascii="Arial" w:cs="Arial" w:eastAsia="Arial" w:hAnsi="Arial"/>
              </w:rPr>
            </w:pPr>
            <w:r w:rsidDel="00000000" w:rsidR="00000000" w:rsidRPr="00000000">
              <w:rPr>
                <w:rFonts w:ascii="Arial" w:cs="Arial" w:eastAsia="Arial" w:hAnsi="Arial"/>
                <w:rtl w:val="0"/>
              </w:rPr>
              <w:t xml:space="preserve">740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pageBreakBefore w:val="0"/>
              <w:jc w:val="right"/>
              <w:rPr>
                <w:rFonts w:ascii="Arial" w:cs="Arial" w:eastAsia="Arial" w:hAnsi="Arial"/>
              </w:rPr>
            </w:pPr>
            <w:r w:rsidDel="00000000" w:rsidR="00000000" w:rsidRPr="00000000">
              <w:rPr>
                <w:rFonts w:ascii="Arial" w:cs="Arial" w:eastAsia="Arial" w:hAnsi="Arial"/>
                <w:rtl w:val="0"/>
              </w:rPr>
              <w:t xml:space="preserve">740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0">
            <w:pPr>
              <w:pageBreakBefore w:val="0"/>
              <w:jc w:val="right"/>
              <w:rPr>
                <w:rFonts w:ascii="Arial" w:cs="Arial" w:eastAsia="Arial" w:hAnsi="Arial"/>
              </w:rPr>
            </w:pPr>
            <w:r w:rsidDel="00000000" w:rsidR="00000000" w:rsidRPr="00000000">
              <w:rPr>
                <w:rFonts w:ascii="Arial" w:cs="Arial" w:eastAsia="Arial" w:hAnsi="Arial"/>
                <w:rtl w:val="0"/>
              </w:rPr>
              <w:t xml:space="preserve">597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1">
            <w:pPr>
              <w:pageBreakBefore w:val="0"/>
              <w:jc w:val="right"/>
              <w:rPr>
                <w:rFonts w:ascii="Arial" w:cs="Arial" w:eastAsia="Arial" w:hAnsi="Arial"/>
              </w:rPr>
            </w:pPr>
            <w:r w:rsidDel="00000000" w:rsidR="00000000" w:rsidRPr="00000000">
              <w:rPr>
                <w:rFonts w:ascii="Arial" w:cs="Arial" w:eastAsia="Arial" w:hAnsi="Arial"/>
                <w:rtl w:val="0"/>
              </w:rPr>
              <w:t xml:space="preserve">507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2">
            <w:pPr>
              <w:pageBreakBefore w:val="0"/>
              <w:jc w:val="right"/>
              <w:rPr>
                <w:rFonts w:ascii="Arial" w:cs="Arial" w:eastAsia="Arial" w:hAnsi="Arial"/>
              </w:rPr>
            </w:pPr>
            <w:r w:rsidDel="00000000" w:rsidR="00000000" w:rsidRPr="00000000">
              <w:rPr>
                <w:rFonts w:ascii="Arial" w:cs="Arial" w:eastAsia="Arial" w:hAnsi="Arial"/>
                <w:rtl w:val="0"/>
              </w:rPr>
              <w:t xml:space="preserve">506</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3">
            <w:pPr>
              <w:pageBreakBefore w:val="0"/>
              <w:rPr>
                <w:rFonts w:ascii="Arial" w:cs="Arial" w:eastAsia="Arial" w:hAnsi="Arial"/>
              </w:rPr>
            </w:pPr>
            <w:r w:rsidDel="00000000" w:rsidR="00000000" w:rsidRPr="00000000">
              <w:rPr>
                <w:rFonts w:ascii="Arial" w:cs="Arial" w:eastAsia="Arial" w:hAnsi="Arial"/>
                <w:rtl w:val="0"/>
              </w:rPr>
              <w:t xml:space="preserve">Other New Allocations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4">
            <w:pPr>
              <w:pageBreakBefore w:val="0"/>
              <w:jc w:val="right"/>
              <w:rPr>
                <w:rFonts w:ascii="Arial" w:cs="Arial" w:eastAsia="Arial" w:hAnsi="Arial"/>
              </w:rPr>
            </w:pPr>
            <w:r w:rsidDel="00000000" w:rsidR="00000000" w:rsidRPr="00000000">
              <w:rPr>
                <w:rFonts w:ascii="Arial" w:cs="Arial" w:eastAsia="Arial" w:hAnsi="Arial"/>
                <w:rtl w:val="0"/>
              </w:rPr>
              <w:t xml:space="preserve">531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5">
            <w:pPr>
              <w:pageBreakBefore w:val="0"/>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6">
            <w:pPr>
              <w:pageBreakBefore w:val="0"/>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7">
            <w:pPr>
              <w:pageBreakBefore w:val="0"/>
              <w:jc w:val="right"/>
              <w:rPr>
                <w:rFonts w:ascii="Arial" w:cs="Arial" w:eastAsia="Arial" w:hAnsi="Arial"/>
              </w:rPr>
            </w:pPr>
            <w:r w:rsidDel="00000000" w:rsidR="00000000" w:rsidRPr="00000000">
              <w:rPr>
                <w:rFonts w:ascii="Arial" w:cs="Arial" w:eastAsia="Arial" w:hAnsi="Arial"/>
                <w:rtl w:val="0"/>
              </w:rPr>
              <w:t xml:space="preserve">86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8">
            <w:pPr>
              <w:pageBreakBefore w:val="0"/>
              <w:jc w:val="right"/>
              <w:rPr>
                <w:rFonts w:ascii="Arial" w:cs="Arial" w:eastAsia="Arial" w:hAnsi="Arial"/>
              </w:rPr>
            </w:pPr>
            <w:r w:rsidDel="00000000" w:rsidR="00000000" w:rsidRPr="00000000">
              <w:rPr>
                <w:rFonts w:ascii="Arial" w:cs="Arial" w:eastAsia="Arial" w:hAnsi="Arial"/>
                <w:rtl w:val="0"/>
              </w:rPr>
              <w:t xml:space="preserve">140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9">
            <w:pPr>
              <w:pageBreakBefore w:val="0"/>
              <w:jc w:val="right"/>
              <w:rPr>
                <w:rFonts w:ascii="Arial" w:cs="Arial" w:eastAsia="Arial" w:hAnsi="Arial"/>
              </w:rPr>
            </w:pPr>
            <w:r w:rsidDel="00000000" w:rsidR="00000000" w:rsidRPr="00000000">
              <w:rPr>
                <w:rFonts w:ascii="Arial" w:cs="Arial" w:eastAsia="Arial" w:hAnsi="Arial"/>
                <w:rtl w:val="0"/>
              </w:rPr>
              <w:t xml:space="preserve">115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A">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B">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C">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D">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E">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F">
            <w:pPr>
              <w:pageBreakBefore w:val="0"/>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0">
            <w:pPr>
              <w:pageBreakBefore w:val="0"/>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1">
            <w:pPr>
              <w:pageBreakBefore w:val="0"/>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2">
            <w:pPr>
              <w:pageBreakBefore w:val="0"/>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3">
            <w:pPr>
              <w:pageBreakBefore w:val="0"/>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4">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5">
            <w:pPr>
              <w:pageBreakBefore w:val="0"/>
              <w:jc w:val="right"/>
              <w:rPr>
                <w:rFonts w:ascii="Arial" w:cs="Arial" w:eastAsia="Arial" w:hAnsi="Arial"/>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6">
            <w:pPr>
              <w:pageBreakBefore w:val="0"/>
              <w:rPr>
                <w:rFonts w:ascii="Arial" w:cs="Arial" w:eastAsia="Arial" w:hAnsi="Arial"/>
              </w:rPr>
            </w:pPr>
            <w:r w:rsidDel="00000000" w:rsidR="00000000" w:rsidRPr="00000000">
              <w:rPr>
                <w:rFonts w:ascii="Arial" w:cs="Arial" w:eastAsia="Arial" w:hAnsi="Arial"/>
                <w:rtl w:val="0"/>
              </w:rPr>
              <w:t xml:space="preserve">Existing Allocations carried forward from 2006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7">
            <w:pPr>
              <w:pageBreakBefore w:val="0"/>
              <w:jc w:val="right"/>
              <w:rPr>
                <w:rFonts w:ascii="Arial" w:cs="Arial" w:eastAsia="Arial" w:hAnsi="Arial"/>
              </w:rPr>
            </w:pPr>
            <w:r w:rsidDel="00000000" w:rsidR="00000000" w:rsidRPr="00000000">
              <w:rPr>
                <w:rFonts w:ascii="Arial" w:cs="Arial" w:eastAsia="Arial" w:hAnsi="Arial"/>
                <w:rtl w:val="0"/>
              </w:rPr>
              <w:t xml:space="preserve">715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8">
            <w:pPr>
              <w:pageBreakBefore w:val="0"/>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9">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A">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B">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388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C">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121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D">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134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E">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F">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0">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1">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2">
            <w:pPr>
              <w:pageBreakBefore w:val="0"/>
              <w:jc w:val="right"/>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3">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4">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5">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6">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7">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8">
            <w:pPr>
              <w:pageBreakBefore w:val="0"/>
              <w:jc w:val="right"/>
              <w:rPr>
                <w:rFonts w:ascii="Arial" w:cs="Arial" w:eastAsia="Arial" w:hAnsi="Arial"/>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9">
            <w:pPr>
              <w:pageBreakBefore w:val="0"/>
              <w:rPr>
                <w:rFonts w:ascii="Arial" w:cs="Arial" w:eastAsia="Arial" w:hAnsi="Arial"/>
              </w:rPr>
            </w:pPr>
            <w:r w:rsidDel="00000000" w:rsidR="00000000" w:rsidRPr="00000000">
              <w:rPr>
                <w:rFonts w:ascii="Arial" w:cs="Arial" w:eastAsia="Arial" w:hAnsi="Arial"/>
                <w:rtl w:val="0"/>
              </w:rPr>
              <w:t xml:space="preserve">Extant pp as at 31st March 2014 (net)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A">
            <w:pPr>
              <w:pageBreakBefore w:val="0"/>
              <w:jc w:val="right"/>
              <w:rPr>
                <w:rFonts w:ascii="Arial" w:cs="Arial" w:eastAsia="Arial" w:hAnsi="Arial"/>
              </w:rPr>
            </w:pPr>
            <w:r w:rsidDel="00000000" w:rsidR="00000000" w:rsidRPr="00000000">
              <w:rPr>
                <w:rFonts w:ascii="Arial" w:cs="Arial" w:eastAsia="Arial" w:hAnsi="Arial"/>
                <w:rtl w:val="0"/>
              </w:rPr>
              <w:t xml:space="preserve">904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B">
            <w:pPr>
              <w:pageBreakBefore w:val="0"/>
              <w:jc w:val="right"/>
              <w:rPr>
                <w:rFonts w:ascii="Arial" w:cs="Arial" w:eastAsia="Arial" w:hAnsi="Arial"/>
              </w:rPr>
            </w:pPr>
            <w:r w:rsidDel="00000000" w:rsidR="00000000" w:rsidRPr="00000000">
              <w:rPr>
                <w:rFonts w:ascii="Arial" w:cs="Arial" w:eastAsia="Arial" w:hAnsi="Arial"/>
                <w:rtl w:val="0"/>
              </w:rPr>
              <w:t xml:space="preserve">302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C">
            <w:pPr>
              <w:pageBreakBefore w:val="0"/>
              <w:jc w:val="right"/>
              <w:rPr>
                <w:rFonts w:ascii="Arial" w:cs="Arial" w:eastAsia="Arial" w:hAnsi="Arial"/>
              </w:rPr>
            </w:pPr>
            <w:r w:rsidDel="00000000" w:rsidR="00000000" w:rsidRPr="00000000">
              <w:rPr>
                <w:rFonts w:ascii="Arial" w:cs="Arial" w:eastAsia="Arial" w:hAnsi="Arial"/>
                <w:rtl w:val="0"/>
              </w:rPr>
              <w:t xml:space="preserve">365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D">
            <w:pPr>
              <w:pageBreakBefore w:val="0"/>
              <w:jc w:val="right"/>
              <w:rPr>
                <w:rFonts w:ascii="Arial" w:cs="Arial" w:eastAsia="Arial" w:hAnsi="Arial"/>
              </w:rPr>
            </w:pPr>
            <w:r w:rsidDel="00000000" w:rsidR="00000000" w:rsidRPr="00000000">
              <w:rPr>
                <w:rFonts w:ascii="Arial" w:cs="Arial" w:eastAsia="Arial" w:hAnsi="Arial"/>
                <w:rtl w:val="0"/>
              </w:rPr>
              <w:t xml:space="preserve">166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E">
            <w:pPr>
              <w:pageBreakBefore w:val="0"/>
              <w:jc w:val="right"/>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F">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0">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2">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3">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4">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6">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7">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8">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9">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A">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B">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C">
            <w:pPr>
              <w:pageBreakBefore w:val="0"/>
              <w:rPr>
                <w:rFonts w:ascii="Arial" w:cs="Arial" w:eastAsia="Arial" w:hAnsi="Arial"/>
              </w:rPr>
            </w:pPr>
            <w:r w:rsidDel="00000000" w:rsidR="00000000" w:rsidRPr="00000000">
              <w:rPr>
                <w:rFonts w:ascii="Arial" w:cs="Arial" w:eastAsia="Arial" w:hAnsi="Arial"/>
                <w:rtl w:val="0"/>
              </w:rPr>
              <w:t xml:space="preserve">Windfall allowance of 138 pa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D">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1932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E">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F">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0">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1">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2">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03">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4">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5">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6">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7">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8">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9">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A">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B">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C">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D">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E">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30F">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number of units</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0">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14292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1">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302</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2">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365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3">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555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4">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1337</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5">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1069</w:t>
            </w:r>
          </w:p>
        </w:tc>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316">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927</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7">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928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8">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853</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9">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1178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A">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B">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1042</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C">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948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D">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878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E">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878</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1F">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735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20">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645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321">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644</w:t>
            </w:r>
          </w:p>
        </w:tc>
      </w:tr>
    </w:tbl>
    <w:p w:rsidR="00000000" w:rsidDel="00000000" w:rsidP="00000000" w:rsidRDefault="00000000" w:rsidRPr="00000000" w14:paraId="0000032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23">
      <w:pPr>
        <w:pageBreakBefore w:val="0"/>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Revised Table 4: Revised Phasing of sites over the plan period until 2031 (June 2015)</w:t>
      </w:r>
    </w:p>
    <w:tbl>
      <w:tblPr>
        <w:tblStyle w:val="Table6"/>
        <w:tblW w:w="14514.0" w:type="dxa"/>
        <w:jc w:val="left"/>
        <w:tblInd w:w="-115.0" w:type="dxa"/>
        <w:tblLayout w:type="fixed"/>
        <w:tblLook w:val="0400"/>
      </w:tblPr>
      <w:tblGrid>
        <w:gridCol w:w="1787"/>
        <w:gridCol w:w="870"/>
        <w:gridCol w:w="711"/>
        <w:gridCol w:w="708"/>
        <w:gridCol w:w="711"/>
        <w:gridCol w:w="723"/>
        <w:gridCol w:w="691"/>
        <w:gridCol w:w="694"/>
        <w:gridCol w:w="691"/>
        <w:gridCol w:w="694"/>
        <w:gridCol w:w="691"/>
        <w:gridCol w:w="694"/>
        <w:gridCol w:w="694"/>
        <w:gridCol w:w="691"/>
        <w:gridCol w:w="694"/>
        <w:gridCol w:w="694"/>
        <w:gridCol w:w="694"/>
        <w:gridCol w:w="694"/>
        <w:gridCol w:w="688"/>
        <w:tblGridChange w:id="0">
          <w:tblGrid>
            <w:gridCol w:w="1787"/>
            <w:gridCol w:w="870"/>
            <w:gridCol w:w="711"/>
            <w:gridCol w:w="708"/>
            <w:gridCol w:w="711"/>
            <w:gridCol w:w="723"/>
            <w:gridCol w:w="691"/>
            <w:gridCol w:w="694"/>
            <w:gridCol w:w="691"/>
            <w:gridCol w:w="694"/>
            <w:gridCol w:w="691"/>
            <w:gridCol w:w="694"/>
            <w:gridCol w:w="694"/>
            <w:gridCol w:w="691"/>
            <w:gridCol w:w="694"/>
            <w:gridCol w:w="694"/>
            <w:gridCol w:w="694"/>
            <w:gridCol w:w="694"/>
            <w:gridCol w:w="688"/>
          </w:tblGrid>
        </w:tblGridChange>
      </w:tblGrid>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324">
            <w:pPr>
              <w:pageBreakBefore w:val="0"/>
              <w:rPr>
                <w:rFonts w:ascii="Arial" w:cs="Arial" w:eastAsia="Arial" w:hAnsi="Arial"/>
                <w:b w:val="1"/>
              </w:rPr>
            </w:pPr>
            <w:r w:rsidDel="00000000" w:rsidR="00000000" w:rsidRPr="00000000">
              <w:rPr>
                <w:rFonts w:ascii="Arial" w:cs="Arial" w:eastAsia="Arial" w:hAnsi="Arial"/>
                <w:b w:val="1"/>
                <w:rtl w:val="0"/>
              </w:rPr>
              <w:t xml:space="preserve">Site name</w:t>
            </w:r>
          </w:p>
        </w:tc>
        <w:tc>
          <w:tcPr>
            <w:tcBorders>
              <w:top w:color="000000" w:space="0" w:sz="4" w:val="single"/>
              <w:left w:color="000000" w:space="0" w:sz="0" w:val="nil"/>
              <w:bottom w:color="000000" w:space="0" w:sz="4" w:val="single"/>
              <w:right w:color="000000" w:space="0" w:sz="4" w:val="single"/>
            </w:tcBorders>
            <w:shd w:fill="bfbfbf" w:val="clear"/>
            <w:vAlign w:val="bottom"/>
          </w:tcPr>
          <w:p w:rsidR="00000000" w:rsidDel="00000000" w:rsidP="00000000" w:rsidRDefault="00000000" w:rsidRPr="00000000" w14:paraId="00000325">
            <w:pPr>
              <w:pageBreakBefore w:val="0"/>
              <w:rPr>
                <w:rFonts w:ascii="Arial" w:cs="Arial" w:eastAsia="Arial" w:hAnsi="Arial"/>
                <w:b w:val="1"/>
              </w:rPr>
            </w:pPr>
            <w:r w:rsidDel="00000000" w:rsidR="00000000" w:rsidRPr="00000000">
              <w:rPr>
                <w:rFonts w:ascii="Arial" w:cs="Arial" w:eastAsia="Arial" w:hAnsi="Arial"/>
                <w:b w:val="1"/>
                <w:rtl w:val="0"/>
              </w:rPr>
              <w:t xml:space="preserve">No. of units</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6">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2014-15</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7">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2015-16</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8">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2016-17</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9">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2017-18</w:t>
            </w:r>
          </w:p>
        </w:tc>
        <w:tc>
          <w:tcPr>
            <w:tcBorders>
              <w:top w:color="000000" w:space="0" w:sz="4" w:val="single"/>
              <w:left w:color="000000" w:space="0" w:sz="0" w:val="nil"/>
              <w:bottom w:color="000000" w:space="0" w:sz="4" w:val="single"/>
              <w:right w:color="000000" w:space="0" w:sz="12" w:val="single"/>
            </w:tcBorders>
            <w:shd w:fill="bfbfbf" w:val="clear"/>
            <w:vAlign w:val="center"/>
          </w:tcPr>
          <w:p w:rsidR="00000000" w:rsidDel="00000000" w:rsidP="00000000" w:rsidRDefault="00000000" w:rsidRPr="00000000" w14:paraId="0000032A">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2018-19</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B">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2019-20</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C">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2020-21</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D">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2021-22</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E">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2022-23</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2F">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2023-24</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0">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2024-25</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1">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2025-26</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2">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2026-27</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3">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2027-28</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4">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2028-29</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5">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2029-30</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36">
            <w:pPr>
              <w:pageBreakBefore w:val="0"/>
              <w:ind w:left="113" w:right="113"/>
              <w:jc w:val="center"/>
              <w:rPr>
                <w:rFonts w:ascii="Arial" w:cs="Arial" w:eastAsia="Arial" w:hAnsi="Arial"/>
                <w:b w:val="1"/>
              </w:rPr>
            </w:pPr>
            <w:r w:rsidDel="00000000" w:rsidR="00000000" w:rsidRPr="00000000">
              <w:rPr>
                <w:rFonts w:ascii="Arial" w:cs="Arial" w:eastAsia="Arial" w:hAnsi="Arial"/>
                <w:b w:val="1"/>
                <w:rtl w:val="0"/>
              </w:rPr>
              <w:t xml:space="preserve">2030-31</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7">
            <w:pPr>
              <w:pageBreakBefore w:val="0"/>
              <w:rPr>
                <w:rFonts w:ascii="Arial" w:cs="Arial" w:eastAsia="Arial" w:hAnsi="Arial"/>
              </w:rPr>
            </w:pPr>
            <w:r w:rsidDel="00000000" w:rsidR="00000000" w:rsidRPr="00000000">
              <w:rPr>
                <w:rFonts w:ascii="Arial" w:cs="Arial" w:eastAsia="Arial" w:hAnsi="Arial"/>
                <w:rtl w:val="0"/>
              </w:rPr>
              <w:t xml:space="preserve">Site 1 Land at South Canterbury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8">
            <w:pPr>
              <w:pageBreakBefore w:val="0"/>
              <w:jc w:val="right"/>
              <w:rPr>
                <w:rFonts w:ascii="Arial" w:cs="Arial" w:eastAsia="Arial" w:hAnsi="Arial"/>
              </w:rPr>
            </w:pPr>
            <w:r w:rsidDel="00000000" w:rsidR="00000000" w:rsidRPr="00000000">
              <w:rPr>
                <w:rFonts w:ascii="Arial" w:cs="Arial" w:eastAsia="Arial" w:hAnsi="Arial"/>
                <w:rtl w:val="0"/>
              </w:rPr>
              <w:t xml:space="preserve">4000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9">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A">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B">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C">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3D">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E">
            <w:pPr>
              <w:pageBreakBefore w:val="0"/>
              <w:jc w:val="right"/>
              <w:rPr>
                <w:rFonts w:ascii="Arial" w:cs="Arial" w:eastAsia="Arial" w:hAnsi="Arial"/>
              </w:rPr>
            </w:pPr>
            <w:r w:rsidDel="00000000" w:rsidR="00000000" w:rsidRPr="00000000">
              <w:rPr>
                <w:rFonts w:ascii="Arial" w:cs="Arial" w:eastAsia="Arial" w:hAnsi="Arial"/>
                <w:rtl w:val="0"/>
              </w:rPr>
              <w:t xml:space="preserve">250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F">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0">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1">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2">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3">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4">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5">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6">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7">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8">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9">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4A">
            <w:pPr>
              <w:pageBreakBefore w:val="0"/>
              <w:rPr>
                <w:rFonts w:ascii="Arial" w:cs="Arial" w:eastAsia="Arial" w:hAnsi="Arial"/>
              </w:rPr>
            </w:pPr>
            <w:r w:rsidDel="00000000" w:rsidR="00000000" w:rsidRPr="00000000">
              <w:rPr>
                <w:rFonts w:ascii="Arial" w:cs="Arial" w:eastAsia="Arial" w:hAnsi="Arial"/>
                <w:rtl w:val="0"/>
              </w:rPr>
              <w:t xml:space="preserve">Site 2 Land At Sturry/Broad Oak</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B">
            <w:pPr>
              <w:pageBreakBefore w:val="0"/>
              <w:jc w:val="right"/>
              <w:rPr>
                <w:rFonts w:ascii="Arial" w:cs="Arial" w:eastAsia="Arial" w:hAnsi="Arial"/>
              </w:rPr>
            </w:pPr>
            <w:r w:rsidDel="00000000" w:rsidR="00000000" w:rsidRPr="00000000">
              <w:rPr>
                <w:rFonts w:ascii="Arial" w:cs="Arial" w:eastAsia="Arial" w:hAnsi="Arial"/>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C">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D">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E">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F">
            <w:pPr>
              <w:pageBreakBefore w:val="0"/>
              <w:jc w:val="right"/>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50">
            <w:pPr>
              <w:pageBreakBefore w:val="0"/>
              <w:jc w:val="right"/>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1">
            <w:pPr>
              <w:pageBreakBefore w:val="0"/>
              <w:jc w:val="right"/>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2">
            <w:pPr>
              <w:pageBreakBefore w:val="0"/>
              <w:jc w:val="right"/>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3">
            <w:pPr>
              <w:pageBreakBefore w:val="0"/>
              <w:jc w:val="right"/>
              <w:rPr>
                <w:rFonts w:ascii="Arial" w:cs="Arial" w:eastAsia="Arial" w:hAnsi="Arial"/>
              </w:rPr>
            </w:pPr>
            <w:r w:rsidDel="00000000" w:rsidR="00000000" w:rsidRPr="00000000">
              <w:rPr>
                <w:rFonts w:ascii="Arial" w:cs="Arial" w:eastAsia="Arial" w:hAnsi="Arial"/>
                <w:rtl w:val="0"/>
              </w:rPr>
              <w:t xml:space="preserve">175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4">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5">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B">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C">
            <w:pPr>
              <w:pageBreakBefore w:val="0"/>
              <w:jc w:val="right"/>
              <w:rPr>
                <w:rFonts w:ascii="Arial" w:cs="Arial" w:eastAsia="Arial" w:hAnsi="Arial"/>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D">
            <w:pPr>
              <w:pageBreakBefore w:val="0"/>
              <w:rPr>
                <w:rFonts w:ascii="Arial" w:cs="Arial" w:eastAsia="Arial" w:hAnsi="Arial"/>
              </w:rPr>
            </w:pPr>
            <w:r w:rsidDel="00000000" w:rsidR="00000000" w:rsidRPr="00000000">
              <w:rPr>
                <w:rFonts w:ascii="Arial" w:cs="Arial" w:eastAsia="Arial" w:hAnsi="Arial"/>
                <w:rtl w:val="0"/>
              </w:rPr>
              <w:t xml:space="preserve">Site 3 Land at Hillborough, Herne Bay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E">
            <w:pPr>
              <w:pageBreakBefore w:val="0"/>
              <w:jc w:val="right"/>
              <w:rPr>
                <w:rFonts w:ascii="Arial" w:cs="Arial" w:eastAsia="Arial" w:hAnsi="Arial"/>
              </w:rPr>
            </w:pPr>
            <w:r w:rsidDel="00000000" w:rsidR="00000000" w:rsidRPr="00000000">
              <w:rPr>
                <w:rFonts w:ascii="Arial" w:cs="Arial" w:eastAsia="Arial" w:hAnsi="Arial"/>
                <w:rtl w:val="0"/>
              </w:rPr>
              <w:t xml:space="preserve">1300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5F">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0">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1">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2">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63">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4">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5">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6">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7">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8">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9">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A">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B">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C">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D">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E">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F">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0">
            <w:pPr>
              <w:pageBreakBefore w:val="0"/>
              <w:rPr>
                <w:rFonts w:ascii="Arial" w:cs="Arial" w:eastAsia="Arial" w:hAnsi="Arial"/>
              </w:rPr>
            </w:pPr>
            <w:r w:rsidDel="00000000" w:rsidR="00000000" w:rsidRPr="00000000">
              <w:rPr>
                <w:rFonts w:ascii="Arial" w:cs="Arial" w:eastAsia="Arial" w:hAnsi="Arial"/>
                <w:rtl w:val="0"/>
              </w:rPr>
              <w:t xml:space="preserve">Site 4 Land at Herne Bay Golf Course, Herne Bay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1">
            <w:pPr>
              <w:pageBreakBefore w:val="0"/>
              <w:jc w:val="right"/>
              <w:rPr>
                <w:rFonts w:ascii="Arial" w:cs="Arial" w:eastAsia="Arial" w:hAnsi="Arial"/>
              </w:rPr>
            </w:pPr>
            <w:r w:rsidDel="00000000" w:rsidR="00000000" w:rsidRPr="00000000">
              <w:rPr>
                <w:rFonts w:ascii="Arial" w:cs="Arial" w:eastAsia="Arial" w:hAnsi="Arial"/>
                <w:rtl w:val="0"/>
              </w:rPr>
              <w:t xml:space="preserve">600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2">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3">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4">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5">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76">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7">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8">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9">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A">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B">
            <w:pPr>
              <w:pageBreakBefore w:val="0"/>
              <w:jc w:val="right"/>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C">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D">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E">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7F">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0">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1">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2">
            <w:pPr>
              <w:pageBreakBefore w:val="0"/>
              <w:jc w:val="right"/>
              <w:rPr>
                <w:rFonts w:ascii="Arial" w:cs="Arial" w:eastAsia="Arial" w:hAnsi="Arial"/>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83">
            <w:pPr>
              <w:pageBreakBefore w:val="0"/>
              <w:rPr>
                <w:rFonts w:ascii="Arial" w:cs="Arial" w:eastAsia="Arial" w:hAnsi="Arial"/>
              </w:rPr>
            </w:pPr>
            <w:r w:rsidDel="00000000" w:rsidR="00000000" w:rsidRPr="00000000">
              <w:rPr>
                <w:rFonts w:ascii="Arial" w:cs="Arial" w:eastAsia="Arial" w:hAnsi="Arial"/>
                <w:rtl w:val="0"/>
              </w:rPr>
              <w:t xml:space="preserve">Site 5 Land at Strode Farm, Herne Bay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4">
            <w:pPr>
              <w:pageBreakBefore w:val="0"/>
              <w:jc w:val="right"/>
              <w:rPr>
                <w:rFonts w:ascii="Arial" w:cs="Arial" w:eastAsia="Arial" w:hAnsi="Arial"/>
              </w:rPr>
            </w:pPr>
            <w:r w:rsidDel="00000000" w:rsidR="00000000" w:rsidRPr="00000000">
              <w:rPr>
                <w:rFonts w:ascii="Arial" w:cs="Arial" w:eastAsia="Arial" w:hAnsi="Arial"/>
                <w:rtl w:val="0"/>
              </w:rPr>
              <w:t xml:space="preserve">800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5">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6">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7">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8">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89">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A">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B">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C">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D">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E">
            <w:pPr>
              <w:pageBreakBefore w:val="0"/>
              <w:jc w:val="right"/>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F">
            <w:pPr>
              <w:pageBreakBefore w:val="0"/>
              <w:jc w:val="right"/>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0">
            <w:pPr>
              <w:pageBreakBefore w:val="0"/>
              <w:jc w:val="right"/>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1">
            <w:pPr>
              <w:pageBreakBefore w:val="0"/>
              <w:jc w:val="right"/>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2">
            <w:pPr>
              <w:pageBreakBefore w:val="0"/>
              <w:jc w:val="right"/>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3">
            <w:pPr>
              <w:pageBreakBefore w:val="0"/>
              <w:jc w:val="right"/>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5">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6">
            <w:pPr>
              <w:pageBreakBefore w:val="0"/>
              <w:rPr>
                <w:rFonts w:ascii="Arial" w:cs="Arial" w:eastAsia="Arial" w:hAnsi="Arial"/>
              </w:rPr>
            </w:pPr>
            <w:r w:rsidDel="00000000" w:rsidR="00000000" w:rsidRPr="00000000">
              <w:rPr>
                <w:rFonts w:ascii="Arial" w:cs="Arial" w:eastAsia="Arial" w:hAnsi="Arial"/>
                <w:rtl w:val="0"/>
              </w:rPr>
              <w:t xml:space="preserve">Site 6 Land at Greenhill, Herne Bay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7">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8">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9">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A">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B">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9C">
            <w:pPr>
              <w:pageBreakBefore w:val="0"/>
              <w:jc w:val="right"/>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D">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9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0">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8">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A9">
            <w:pPr>
              <w:pageBreakBefore w:val="0"/>
              <w:rPr>
                <w:rFonts w:ascii="Arial" w:cs="Arial" w:eastAsia="Arial" w:hAnsi="Arial"/>
              </w:rPr>
            </w:pPr>
            <w:r w:rsidDel="00000000" w:rsidR="00000000" w:rsidRPr="00000000">
              <w:rPr>
                <w:rFonts w:ascii="Arial" w:cs="Arial" w:eastAsia="Arial" w:hAnsi="Arial"/>
                <w:rtl w:val="0"/>
              </w:rPr>
              <w:t xml:space="preserve">Site 7 North of Thanet Way, Whitstable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A">
            <w:pPr>
              <w:pageBreakBefore w:val="0"/>
              <w:jc w:val="right"/>
              <w:rPr>
                <w:rFonts w:ascii="Arial" w:cs="Arial" w:eastAsia="Arial" w:hAnsi="Arial"/>
              </w:rPr>
            </w:pPr>
            <w:r w:rsidDel="00000000" w:rsidR="00000000" w:rsidRPr="00000000">
              <w:rPr>
                <w:rFonts w:ascii="Arial" w:cs="Arial" w:eastAsia="Arial" w:hAnsi="Arial"/>
                <w:rtl w:val="0"/>
              </w:rPr>
              <w:t xml:space="preserve">400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B">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C">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D">
            <w:pPr>
              <w:pageBreakBefore w:val="0"/>
              <w:jc w:val="right"/>
              <w:rPr>
                <w:rFonts w:ascii="Arial" w:cs="Arial" w:eastAsia="Arial" w:hAnsi="Arial"/>
              </w:rPr>
            </w:pPr>
            <w:r w:rsidDel="00000000" w:rsidR="00000000" w:rsidRPr="00000000">
              <w:rPr>
                <w:rFonts w:ascii="Arial" w:cs="Arial" w:eastAsia="Arial" w:hAnsi="Arial"/>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E">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AF">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0">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1">
            <w:pPr>
              <w:pageBreakBefore w:val="0"/>
              <w:jc w:val="right"/>
              <w:rPr>
                <w:rFonts w:ascii="Arial" w:cs="Arial" w:eastAsia="Arial" w:hAnsi="Arial"/>
              </w:rPr>
            </w:pPr>
            <w:r w:rsidDel="00000000" w:rsidR="00000000" w:rsidRPr="00000000">
              <w:rPr>
                <w:rFonts w:ascii="Arial" w:cs="Arial" w:eastAsia="Arial" w:hAnsi="Arial"/>
                <w:rtl w:val="0"/>
              </w:rPr>
              <w:t xml:space="preserve">85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2">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B">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C">
            <w:pPr>
              <w:pageBreakBefore w:val="0"/>
              <w:rPr>
                <w:rFonts w:ascii="Arial" w:cs="Arial" w:eastAsia="Arial" w:hAnsi="Arial"/>
              </w:rPr>
            </w:pPr>
            <w:r w:rsidDel="00000000" w:rsidR="00000000" w:rsidRPr="00000000">
              <w:rPr>
                <w:rFonts w:ascii="Arial" w:cs="Arial" w:eastAsia="Arial" w:hAnsi="Arial"/>
                <w:rtl w:val="0"/>
              </w:rPr>
              <w:t xml:space="preserve">Site 8 Land North of Hersden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D">
            <w:pPr>
              <w:pageBreakBefore w:val="0"/>
              <w:jc w:val="right"/>
              <w:rPr>
                <w:rFonts w:ascii="Arial" w:cs="Arial" w:eastAsia="Arial" w:hAnsi="Arial"/>
              </w:rPr>
            </w:pPr>
            <w:r w:rsidDel="00000000" w:rsidR="00000000" w:rsidRPr="00000000">
              <w:rPr>
                <w:rFonts w:ascii="Arial" w:cs="Arial" w:eastAsia="Arial" w:hAnsi="Arial"/>
                <w:rtl w:val="0"/>
              </w:rPr>
              <w:t xml:space="preserve">500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E">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BF">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0">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1">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C2">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3">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4">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5">
            <w:pPr>
              <w:pageBreakBefore w:val="0"/>
              <w:jc w:val="right"/>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6">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7">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8">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9">
            <w:pPr>
              <w:pageBreakBefore w:val="0"/>
              <w:jc w:val="right"/>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D">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CE">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CF">
            <w:pPr>
              <w:pageBreakBefore w:val="0"/>
              <w:rPr>
                <w:rFonts w:ascii="Arial" w:cs="Arial" w:eastAsia="Arial" w:hAnsi="Arial"/>
                <w:highlight w:val="yellow"/>
              </w:rPr>
            </w:pPr>
            <w:r w:rsidDel="00000000" w:rsidR="00000000" w:rsidRPr="00000000">
              <w:rPr>
                <w:rFonts w:ascii="Arial" w:cs="Arial" w:eastAsia="Arial" w:hAnsi="Arial"/>
                <w:highlight w:val="yellow"/>
                <w:rtl w:val="0"/>
              </w:rPr>
              <w:t xml:space="preserve">Site 9 Land at Howe Barracks, Canterbury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0">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500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1">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2">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3">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4">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60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D5">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80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6">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7">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8">
            <w:pPr>
              <w:pageBreakBefore w:val="0"/>
              <w:jc w:val="right"/>
              <w:rPr>
                <w:rFonts w:ascii="Arial" w:cs="Arial" w:eastAsia="Arial" w:hAnsi="Arial"/>
              </w:rPr>
            </w:pPr>
            <w:r w:rsidDel="00000000" w:rsidR="00000000" w:rsidRPr="00000000">
              <w:rPr>
                <w:rFonts w:ascii="Arial" w:cs="Arial" w:eastAsia="Arial" w:hAnsi="Arial"/>
                <w:highlight w:val="yellow"/>
                <w:rtl w:val="0"/>
              </w:rPr>
              <w:t xml:space="preserve">90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9">
            <w:pPr>
              <w:pageBreakBefore w:val="0"/>
              <w:jc w:val="right"/>
              <w:rPr>
                <w:rFonts w:ascii="Arial" w:cs="Arial" w:eastAsia="Arial" w:hAnsi="Arial"/>
              </w:rPr>
            </w:pPr>
            <w:r w:rsidDel="00000000" w:rsidR="00000000" w:rsidRPr="00000000">
              <w:rPr>
                <w:rFonts w:ascii="Arial" w:cs="Arial" w:eastAsia="Arial" w:hAnsi="Arial"/>
                <w:highlight w:val="yellow"/>
                <w:rtl w:val="0"/>
              </w:rPr>
              <w:t xml:space="preserve">90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A">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D">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0">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1">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2">
            <w:pPr>
              <w:pageBreakBefore w:val="0"/>
              <w:rPr>
                <w:rFonts w:ascii="Arial" w:cs="Arial" w:eastAsia="Arial" w:hAnsi="Arial"/>
              </w:rPr>
            </w:pPr>
            <w:r w:rsidDel="00000000" w:rsidR="00000000" w:rsidRPr="00000000">
              <w:rPr>
                <w:rFonts w:ascii="Arial" w:cs="Arial" w:eastAsia="Arial" w:hAnsi="Arial"/>
                <w:rtl w:val="0"/>
              </w:rPr>
              <w:t xml:space="preserve">Site 10 Land at Ridlands Farm / Hospital site, Canterbury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3">
            <w:pPr>
              <w:pageBreakBefore w:val="0"/>
              <w:jc w:val="right"/>
              <w:rPr>
                <w:rFonts w:ascii="Arial" w:cs="Arial" w:eastAsia="Arial" w:hAnsi="Arial"/>
              </w:rPr>
            </w:pPr>
            <w:r w:rsidDel="00000000" w:rsidR="00000000" w:rsidRPr="00000000">
              <w:rPr>
                <w:rFonts w:ascii="Arial" w:cs="Arial" w:eastAsia="Arial" w:hAnsi="Arial"/>
                <w:rtl w:val="0"/>
              </w:rPr>
              <w:t xml:space="preserve">810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4">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5">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6">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7">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E8">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9">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A">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B">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C">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D">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E">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F">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0">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1">
            <w:pPr>
              <w:pageBreakBefore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2">
            <w:pPr>
              <w:pageBreakBefore w:val="0"/>
              <w:jc w:val="right"/>
              <w:rPr>
                <w:rFonts w:ascii="Arial" w:cs="Arial" w:eastAsia="Arial" w:hAnsi="Arial"/>
              </w:rPr>
            </w:pPr>
            <w:r w:rsidDel="00000000" w:rsidR="00000000" w:rsidRPr="00000000">
              <w:rPr>
                <w:rFonts w:ascii="Arial" w:cs="Arial" w:eastAsia="Arial" w:hAnsi="Arial"/>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3">
            <w:pPr>
              <w:pageBreakBefore w:val="0"/>
              <w:jc w:val="right"/>
              <w:rPr>
                <w:rFonts w:ascii="Arial" w:cs="Arial" w:eastAsia="Arial" w:hAnsi="Arial"/>
              </w:rPr>
            </w:pPr>
            <w:r w:rsidDel="00000000" w:rsidR="00000000" w:rsidRPr="00000000">
              <w:rPr>
                <w:rFonts w:ascii="Arial" w:cs="Arial" w:eastAsia="Arial" w:hAnsi="Arial"/>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4">
            <w:pPr>
              <w:pageBreakBefore w:val="0"/>
              <w:jc w:val="right"/>
              <w:rPr>
                <w:rFonts w:ascii="Arial" w:cs="Arial" w:eastAsia="Arial" w:hAnsi="Arial"/>
              </w:rPr>
            </w:pPr>
            <w:r w:rsidDel="00000000" w:rsidR="00000000" w:rsidRPr="00000000">
              <w:rPr>
                <w:rFonts w:ascii="Arial" w:cs="Arial" w:eastAsia="Arial" w:hAnsi="Arial"/>
                <w:rtl w:val="0"/>
              </w:rPr>
              <w:t xml:space="preserve">56</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5">
            <w:pPr>
              <w:pageBreakBefore w:val="0"/>
              <w:rPr>
                <w:rFonts w:ascii="Arial" w:cs="Arial" w:eastAsia="Arial" w:hAnsi="Arial"/>
              </w:rPr>
            </w:pPr>
            <w:r w:rsidDel="00000000" w:rsidR="00000000" w:rsidRPr="00000000">
              <w:rPr>
                <w:rFonts w:ascii="Arial" w:cs="Arial" w:eastAsia="Arial" w:hAnsi="Arial"/>
                <w:rtl w:val="0"/>
              </w:rPr>
              <w:t xml:space="preserve">St Martin's Hospital, Canterbury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6">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7">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8">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9">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A">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3FB">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C">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D">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0">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7">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8">
            <w:pPr>
              <w:pageBreakBefore w:val="0"/>
              <w:rPr>
                <w:rFonts w:ascii="Arial" w:cs="Arial" w:eastAsia="Arial" w:hAnsi="Arial"/>
              </w:rPr>
            </w:pPr>
            <w:r w:rsidDel="00000000" w:rsidR="00000000" w:rsidRPr="00000000">
              <w:rPr>
                <w:rFonts w:ascii="Arial" w:cs="Arial" w:eastAsia="Arial" w:hAnsi="Arial"/>
                <w:rtl w:val="0"/>
              </w:rPr>
              <w:t xml:space="preserve">Land at Bullockstone Road, Herne Bay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9">
            <w:pPr>
              <w:pageBreakBefore w:val="0"/>
              <w:jc w:val="right"/>
              <w:rPr>
                <w:rFonts w:ascii="Arial" w:cs="Arial" w:eastAsia="Arial" w:hAnsi="Arial"/>
              </w:rPr>
            </w:pPr>
            <w:r w:rsidDel="00000000" w:rsidR="00000000" w:rsidRPr="00000000">
              <w:rPr>
                <w:rFonts w:ascii="Arial" w:cs="Arial" w:eastAsia="Arial" w:hAnsi="Arial"/>
                <w:rtl w:val="0"/>
              </w:rPr>
              <w:t xml:space="preserve">190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A">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B">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C">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D">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0E">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F">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0">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1">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2">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3">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4">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5">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6">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7">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8">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A">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B">
            <w:pPr>
              <w:pageBreakBefore w:val="0"/>
              <w:rPr>
                <w:rFonts w:ascii="Arial" w:cs="Arial" w:eastAsia="Arial" w:hAnsi="Arial"/>
              </w:rPr>
            </w:pPr>
            <w:r w:rsidDel="00000000" w:rsidR="00000000" w:rsidRPr="00000000">
              <w:rPr>
                <w:rFonts w:ascii="Arial" w:cs="Arial" w:eastAsia="Arial" w:hAnsi="Arial"/>
                <w:rtl w:val="0"/>
              </w:rPr>
              <w:t xml:space="preserve">Spires, Land at Bredlands Lane, Sturry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C">
            <w:pPr>
              <w:pageBreakBefore w:val="0"/>
              <w:jc w:val="right"/>
              <w:rPr>
                <w:rFonts w:ascii="Arial" w:cs="Arial" w:eastAsia="Arial" w:hAnsi="Arial"/>
              </w:rPr>
            </w:pPr>
            <w:r w:rsidDel="00000000" w:rsidR="00000000" w:rsidRPr="00000000">
              <w:rPr>
                <w:rFonts w:ascii="Arial" w:cs="Arial" w:eastAsia="Arial" w:hAnsi="Arial"/>
                <w:rtl w:val="0"/>
              </w:rPr>
              <w:t xml:space="preserve">81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D">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E">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F">
            <w:pPr>
              <w:pageBreakBefore w:val="0"/>
              <w:jc w:val="right"/>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0">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2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D">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E">
            <w:pPr>
              <w:pageBreakBefore w:val="0"/>
              <w:rPr>
                <w:rFonts w:ascii="Arial" w:cs="Arial" w:eastAsia="Arial" w:hAnsi="Arial"/>
              </w:rPr>
            </w:pPr>
            <w:r w:rsidDel="00000000" w:rsidR="00000000" w:rsidRPr="00000000">
              <w:rPr>
                <w:rFonts w:ascii="Arial" w:cs="Arial" w:eastAsia="Arial" w:hAnsi="Arial"/>
                <w:rtl w:val="0"/>
              </w:rPr>
              <w:t xml:space="preserve">Barham Court Farm, Barham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F">
            <w:pPr>
              <w:pageBreakBefore w:val="0"/>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0">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1">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2">
            <w:pPr>
              <w:pageBreakBefore w:val="0"/>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3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D">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0">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1">
            <w:pPr>
              <w:pageBreakBefore w:val="0"/>
              <w:rPr>
                <w:rFonts w:ascii="Arial" w:cs="Arial" w:eastAsia="Arial" w:hAnsi="Arial"/>
              </w:rPr>
            </w:pPr>
            <w:r w:rsidDel="00000000" w:rsidR="00000000" w:rsidRPr="00000000">
              <w:rPr>
                <w:rFonts w:ascii="Arial" w:cs="Arial" w:eastAsia="Arial" w:hAnsi="Arial"/>
                <w:rtl w:val="0"/>
              </w:rPr>
              <w:t xml:space="preserve">Land at Baker's Lane, Chartham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2">
            <w:pPr>
              <w:pageBreakBefore w:val="0"/>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3">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4">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5">
            <w:pPr>
              <w:pageBreakBefore w:val="0"/>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4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D">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0">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3">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4">
            <w:pPr>
              <w:pageBreakBefore w:val="0"/>
              <w:rPr>
                <w:rFonts w:ascii="Arial" w:cs="Arial" w:eastAsia="Arial" w:hAnsi="Arial"/>
              </w:rPr>
            </w:pPr>
            <w:r w:rsidDel="00000000" w:rsidR="00000000" w:rsidRPr="00000000">
              <w:rPr>
                <w:rFonts w:ascii="Arial" w:cs="Arial" w:eastAsia="Arial" w:hAnsi="Arial"/>
                <w:rtl w:val="0"/>
              </w:rPr>
              <w:t xml:space="preserve">Kingsmead Field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5">
            <w:pPr>
              <w:pageBreakBefore w:val="0"/>
              <w:jc w:val="right"/>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6">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7">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8">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9">
            <w:pPr>
              <w:pageBreakBefore w:val="0"/>
              <w:jc w:val="right"/>
              <w:rPr>
                <w:rFonts w:ascii="Arial" w:cs="Arial" w:eastAsia="Arial" w:hAnsi="Arial"/>
              </w:rPr>
            </w:pPr>
            <w:r w:rsidDel="00000000" w:rsidR="00000000" w:rsidRPr="00000000">
              <w:rPr>
                <w:rFonts w:ascii="Arial" w:cs="Arial" w:eastAsia="Arial" w:hAnsi="Arial"/>
                <w:rtl w:val="0"/>
              </w:rPr>
              <w:t xml:space="preserve">0 </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5A">
            <w:pPr>
              <w:pageBreakBefore w:val="0"/>
              <w:jc w:val="right"/>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C">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D">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E">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F">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0">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6">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7">
            <w:pPr>
              <w:pageBreakBefore w:val="0"/>
              <w:rPr>
                <w:rFonts w:ascii="Arial" w:cs="Arial" w:eastAsia="Arial" w:hAnsi="Arial"/>
              </w:rPr>
            </w:pPr>
            <w:r w:rsidDel="00000000" w:rsidR="00000000" w:rsidRPr="00000000">
              <w:rPr>
                <w:rFonts w:ascii="Arial" w:cs="Arial" w:eastAsia="Arial" w:hAnsi="Arial"/>
                <w:rtl w:val="0"/>
              </w:rPr>
              <w:t xml:space="preserve">Other allocations total units per year</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8">
            <w:pPr>
              <w:pageBreakBefore w:val="0"/>
              <w:jc w:val="right"/>
              <w:rPr>
                <w:rFonts w:ascii="Arial" w:cs="Arial" w:eastAsia="Arial" w:hAnsi="Arial"/>
              </w:rPr>
            </w:pPr>
            <w:r w:rsidDel="00000000" w:rsidR="00000000" w:rsidRPr="00000000">
              <w:rPr>
                <w:rFonts w:ascii="Arial" w:cs="Arial" w:eastAsia="Arial" w:hAnsi="Arial"/>
                <w:rtl w:val="0"/>
              </w:rPr>
              <w:t xml:space="preserve">715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9">
            <w:pPr>
              <w:pageBreakBefore w:val="0"/>
              <w:jc w:val="right"/>
              <w:rPr>
                <w:rFonts w:ascii="Arial" w:cs="Arial" w:eastAsia="Arial" w:hAnsi="Arial"/>
              </w:rPr>
            </w:pPr>
            <w:r w:rsidDel="00000000" w:rsidR="00000000" w:rsidRPr="00000000">
              <w:rPr>
                <w:rFonts w:ascii="Arial" w:cs="Arial" w:eastAsia="Arial" w:hAnsi="Arial"/>
                <w:rtl w:val="0"/>
              </w:rPr>
              <w:t xml:space="preserve"> 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A">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B">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C">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388</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6D">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121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E">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134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F">
            <w:pPr>
              <w:pageBreakBefore w:val="0"/>
              <w:jc w:val="right"/>
              <w:rPr>
                <w:rFonts w:ascii="Arial" w:cs="Arial" w:eastAsia="Arial" w:hAnsi="Arial"/>
                <w:highlight w:val="yellow"/>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0">
            <w:pPr>
              <w:pageBreakBefore w:val="0"/>
              <w:jc w:val="right"/>
              <w:rPr>
                <w:rFonts w:ascii="Arial" w:cs="Arial" w:eastAsia="Arial" w:hAnsi="Arial"/>
                <w:highlight w:val="yellow"/>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1">
            <w:pPr>
              <w:pageBreakBefore w:val="0"/>
              <w:jc w:val="right"/>
              <w:rPr>
                <w:rFonts w:ascii="Arial" w:cs="Arial" w:eastAsia="Arial" w:hAnsi="Arial"/>
                <w:highlight w:val="yellow"/>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2">
            <w:pPr>
              <w:pageBreakBefore w:val="0"/>
              <w:jc w:val="right"/>
              <w:rPr>
                <w:rFonts w:ascii="Arial" w:cs="Arial" w:eastAsia="Arial" w:hAnsi="Arial"/>
                <w:highlight w:val="yellow"/>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3">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24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9">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A">
            <w:pPr>
              <w:pageBreakBefore w:val="0"/>
              <w:rPr>
                <w:rFonts w:ascii="Arial" w:cs="Arial" w:eastAsia="Arial" w:hAnsi="Arial"/>
              </w:rPr>
            </w:pPr>
            <w:r w:rsidDel="00000000" w:rsidR="00000000" w:rsidRPr="00000000">
              <w:rPr>
                <w:rFonts w:ascii="Arial" w:cs="Arial" w:eastAsia="Arial" w:hAnsi="Arial"/>
                <w:rtl w:val="0"/>
              </w:rPr>
              <w:t xml:space="preserve">Extant pp as at 31st March 2014 (net)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B">
            <w:pPr>
              <w:pageBreakBefore w:val="0"/>
              <w:jc w:val="right"/>
              <w:rPr>
                <w:rFonts w:ascii="Arial" w:cs="Arial" w:eastAsia="Arial" w:hAnsi="Arial"/>
              </w:rPr>
            </w:pPr>
            <w:r w:rsidDel="00000000" w:rsidR="00000000" w:rsidRPr="00000000">
              <w:rPr>
                <w:rFonts w:ascii="Arial" w:cs="Arial" w:eastAsia="Arial" w:hAnsi="Arial"/>
                <w:rtl w:val="0"/>
              </w:rPr>
              <w:t xml:space="preserve">904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C">
            <w:pPr>
              <w:pageBreakBefore w:val="0"/>
              <w:jc w:val="right"/>
              <w:rPr>
                <w:rFonts w:ascii="Arial" w:cs="Arial" w:eastAsia="Arial" w:hAnsi="Arial"/>
              </w:rPr>
            </w:pPr>
            <w:r w:rsidDel="00000000" w:rsidR="00000000" w:rsidRPr="00000000">
              <w:rPr>
                <w:rFonts w:ascii="Arial" w:cs="Arial" w:eastAsia="Arial" w:hAnsi="Arial"/>
                <w:rtl w:val="0"/>
              </w:rPr>
              <w:t xml:space="preserve">302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D">
            <w:pPr>
              <w:pageBreakBefore w:val="0"/>
              <w:jc w:val="right"/>
              <w:rPr>
                <w:rFonts w:ascii="Arial" w:cs="Arial" w:eastAsia="Arial" w:hAnsi="Arial"/>
              </w:rPr>
            </w:pPr>
            <w:r w:rsidDel="00000000" w:rsidR="00000000" w:rsidRPr="00000000">
              <w:rPr>
                <w:rFonts w:ascii="Arial" w:cs="Arial" w:eastAsia="Arial" w:hAnsi="Arial"/>
                <w:rtl w:val="0"/>
              </w:rPr>
              <w:t xml:space="preserve">365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E">
            <w:pPr>
              <w:pageBreakBefore w:val="0"/>
              <w:jc w:val="right"/>
              <w:rPr>
                <w:rFonts w:ascii="Arial" w:cs="Arial" w:eastAsia="Arial" w:hAnsi="Arial"/>
              </w:rPr>
            </w:pPr>
            <w:r w:rsidDel="00000000" w:rsidR="00000000" w:rsidRPr="00000000">
              <w:rPr>
                <w:rFonts w:ascii="Arial" w:cs="Arial" w:eastAsia="Arial" w:hAnsi="Arial"/>
                <w:rtl w:val="0"/>
              </w:rPr>
              <w:t xml:space="preserve">166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F">
            <w:pPr>
              <w:pageBreakBefore w:val="0"/>
              <w:jc w:val="right"/>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80">
            <w:pPr>
              <w:pageBreakBefore w:val="0"/>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1">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2">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3">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4">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5">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6">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7">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8">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9">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A">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B">
            <w:pPr>
              <w:pageBreakBefore w:val="0"/>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C">
            <w:pPr>
              <w:pageBreakBefore w:val="0"/>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D">
            <w:pPr>
              <w:pageBreakBefore w:val="0"/>
              <w:rPr>
                <w:rFonts w:ascii="Arial" w:cs="Arial" w:eastAsia="Arial" w:hAnsi="Arial"/>
              </w:rPr>
            </w:pPr>
            <w:r w:rsidDel="00000000" w:rsidR="00000000" w:rsidRPr="00000000">
              <w:rPr>
                <w:rFonts w:ascii="Arial" w:cs="Arial" w:eastAsia="Arial" w:hAnsi="Arial"/>
                <w:rtl w:val="0"/>
              </w:rPr>
              <w:t xml:space="preserve">Windfall allowance of 138 pa</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E">
            <w:pPr>
              <w:pageBreakBefore w:val="0"/>
              <w:jc w:val="right"/>
              <w:rPr>
                <w:rFonts w:ascii="Arial" w:cs="Arial" w:eastAsia="Arial" w:hAnsi="Arial"/>
              </w:rPr>
            </w:pPr>
            <w:r w:rsidDel="00000000" w:rsidR="00000000" w:rsidRPr="00000000">
              <w:rPr>
                <w:rFonts w:ascii="Arial" w:cs="Arial" w:eastAsia="Arial" w:hAnsi="Arial"/>
                <w:highlight w:val="yellow"/>
                <w:rtl w:val="0"/>
              </w:rPr>
              <w:t xml:space="preserve">1932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F">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0">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1">
            <w:pPr>
              <w:pageBreakBefore w:val="0"/>
              <w:jc w:val="right"/>
              <w:rPr>
                <w:rFonts w:ascii="Arial" w:cs="Arial" w:eastAsia="Arial" w:hAnsi="Arial"/>
                <w:highlight w:val="yellow"/>
              </w:rPr>
            </w:pPr>
            <w:r w:rsidDel="00000000" w:rsidR="00000000" w:rsidRPr="00000000">
              <w:rPr>
                <w:rFonts w:ascii="Arial" w:cs="Arial" w:eastAsia="Arial" w:hAnsi="Arial"/>
                <w:highlight w:val="yellow"/>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2">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12" w:val="single"/>
            </w:tcBorders>
            <w:shd w:fill="auto" w:val="clear"/>
          </w:tcPr>
          <w:p w:rsidR="00000000" w:rsidDel="00000000" w:rsidP="00000000" w:rsidRDefault="00000000" w:rsidRPr="00000000" w14:paraId="00000493">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4">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5">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6">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7">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8">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9">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A">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B">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C">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D">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E">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F">
            <w:pPr>
              <w:pageBreakBefore w:val="0"/>
              <w:jc w:val="right"/>
              <w:rPr>
                <w:rFonts w:ascii="Arial" w:cs="Arial" w:eastAsia="Arial" w:hAnsi="Arial"/>
              </w:rPr>
            </w:pPr>
            <w:r w:rsidDel="00000000" w:rsidR="00000000" w:rsidRPr="00000000">
              <w:rPr>
                <w:rFonts w:ascii="Arial" w:cs="Arial" w:eastAsia="Arial" w:hAnsi="Arial"/>
                <w:rtl w:val="0"/>
              </w:rPr>
              <w:t xml:space="preserve">138</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4A0">
            <w:pPr>
              <w:pageBreakBefore w:val="0"/>
              <w:rPr>
                <w:rFonts w:ascii="Arial" w:cs="Arial" w:eastAsia="Arial" w:hAnsi="Arial"/>
                <w:b w:val="1"/>
              </w:rPr>
            </w:pPr>
            <w:r w:rsidDel="00000000" w:rsidR="00000000" w:rsidRPr="00000000">
              <w:rPr>
                <w:rFonts w:ascii="Arial" w:cs="Arial" w:eastAsia="Arial" w:hAnsi="Arial"/>
                <w:b w:val="1"/>
                <w:rtl w:val="0"/>
              </w:rPr>
              <w:t xml:space="preserve">Total number of units</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1">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14292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2">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302</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3">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365</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4">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555</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5">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1337</w:t>
            </w:r>
          </w:p>
        </w:tc>
        <w:tc>
          <w:tcPr>
            <w:tcBorders>
              <w:top w:color="000000" w:space="0" w:sz="4" w:val="single"/>
              <w:left w:color="000000" w:space="0" w:sz="0" w:val="nil"/>
              <w:bottom w:color="000000" w:space="0" w:sz="4" w:val="single"/>
              <w:right w:color="000000" w:space="0" w:sz="12" w:val="single"/>
            </w:tcBorders>
            <w:shd w:fill="a6a6a6" w:val="clear"/>
          </w:tcPr>
          <w:p w:rsidR="00000000" w:rsidDel="00000000" w:rsidP="00000000" w:rsidRDefault="00000000" w:rsidRPr="00000000" w14:paraId="000004A6">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1069</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7">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927</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8">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928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9">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853</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A">
            <w:pPr>
              <w:pageBreakBefore w:val="0"/>
              <w:jc w:val="right"/>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1178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B">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C">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1042</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D">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948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E">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878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AF">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878</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B0">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735</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B1">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645</w:t>
            </w:r>
          </w:p>
        </w:tc>
        <w:tc>
          <w:tcPr>
            <w:tcBorders>
              <w:top w:color="000000" w:space="0" w:sz="4" w:val="single"/>
              <w:left w:color="000000" w:space="0" w:sz="0" w:val="nil"/>
              <w:bottom w:color="000000" w:space="0" w:sz="4" w:val="single"/>
              <w:right w:color="000000" w:space="0" w:sz="4" w:val="single"/>
            </w:tcBorders>
            <w:shd w:fill="a6a6a6" w:val="clear"/>
          </w:tcPr>
          <w:p w:rsidR="00000000" w:rsidDel="00000000" w:rsidP="00000000" w:rsidRDefault="00000000" w:rsidRPr="00000000" w14:paraId="000004B2">
            <w:pPr>
              <w:pageBreakBefore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644</w:t>
            </w:r>
          </w:p>
        </w:tc>
      </w:tr>
    </w:tbl>
    <w:p w:rsidR="00000000" w:rsidDel="00000000" w:rsidP="00000000" w:rsidRDefault="00000000" w:rsidRPr="00000000" w14:paraId="000004B3">
      <w:pPr>
        <w:pageBreakBefore w:val="0"/>
        <w:rPr>
          <w:rFonts w:ascii="Arial" w:cs="Arial" w:eastAsia="Arial" w:hAnsi="Arial"/>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