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ACRA OPINION ON THE COUNCIL’s RETROSPECTIVE APPROVAL OF THE LOCAL DEVELOPMENT SCHEME </w:t>
      </w:r>
    </w:p>
    <w:p w:rsidR="00000000" w:rsidDel="00000000" w:rsidP="00000000" w:rsidRDefault="00000000" w:rsidRPr="00000000" w14:paraId="00000002">
      <w:pPr>
        <w:pageBreakBefore w:val="0"/>
        <w:rPr>
          <w:b w:val="1"/>
          <w:sz w:val="28"/>
          <w:szCs w:val="28"/>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We are amazed that the Council has so badly handled its legal obligation to endorse an LDS. To resort to this retrospective white washing at this time in the Examination process beggars belief.  We do not feel that it constitutes full compliance with the rules. And, alas, it is not the only piece of sloppiness which we have observed in the drawing up of the Plan. Having decided what it wants it has simply ploughed ahead irrespective of legal niceties or local opinion. Hence we have, reluctantly, to find the last minute approval unacceptable.</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bookmarkStart w:colFirst="0" w:colLast="0" w:name="_gjdgxs" w:id="0"/>
      <w:bookmarkEnd w:id="0"/>
      <w:r w:rsidDel="00000000" w:rsidR="00000000" w:rsidRPr="00000000">
        <w:rPr>
          <w:sz w:val="24"/>
          <w:szCs w:val="24"/>
          <w:rtl w:val="0"/>
        </w:rPr>
        <w:t xml:space="preserve">CHC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