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CANTERBURY DISTRICT LOCAL PLAN HEARING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of ‘To Do’ from the Hearing Sessions Frome Tuesday 14 July – Wednesday 29 July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re-look at wording to SP4 (flexibility)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words to SP4 ‘Hierarchy’ with and without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look at general wording of Plan – (negative)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look at wording of 2.21 &amp; 2.80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5 year land supply trajectory – HLS supply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Wording of Plan – does it fit NPPF approach?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List of Parish Councils contacted regarding self build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clarify its position on the Herne Relief Road and its relationship to the constraints of the HB sites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Affordable Housing – wording of strategy &amp;0/30 split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– Starter Homes initiatives – Brownfield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Site 6 appendix to statement - Greenhill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LDS documents from Council – comments by Tuesday 28 July – Council response by Friday 31 July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– to propose mods to Policy SP3 site 8 – text and evidence to back up.  Other parties to have time to comment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put forward mods for site 9 drawings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SP3 wording to be looked at in relation to SPD &amp; Development Briefs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response to DTC by Wednesday 29 July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Herne &amp; Sturry Relief Roads (how should be developed) need more information from CCC/KCC  - attendees at session to have until 28 July to comment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give the inspector more information on P&amp;R model approach to delivery – how would it be funded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Note on other options P&amp;R different options if loose part of the Wincheap 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 look at main mods – KCC parking standards – needs to be put into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Adams Integra – externals how were they treated/taken account of – David Coates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implications of viability of Government Housing Standards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– Possible to do a form of appropriate wording – mitigation that agree on with NE – Interim position once the plan adopted. SAMMS payment Natural England can supply a copy of the letter sent to CCC re interim 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look at how Policy CC12 is phrased re Mr Stevens comment HBF – re wording framework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amend text to LP which sets out CCC intentions concerning parking and development at Canterbury West station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Copy of Development Brief for inspector – Canterbury West CP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Word change to look at EMP 1a + 1b for Sturry Site to include Trade Counters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Wincheap retail implications for provision in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Evidence of further discussions between CCC &amp; Dover re Wincheap retail and Dover’s  view on GLH 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New employment allocations in relation to EMP1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- Viability reference in Affordable Housing 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to decide if they want to give the inspector evidence on developers who provide units just under affordable housing threshold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check wording 2.49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Rural exemption sites – reflect on wording ‘only’ and whether it refers NPPF guidelines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CCC – SA note - Levett-Therivel – Ashford by Monday 3 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KCC A28 study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