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From: Heeley, Frank [mailto:frank.heeley@environment-agency.gov.uk]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Sent: 24 August 2016 15:14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To: Timothy Bailey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Cc: Mortimer, Meriel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Subject: RE: Chartham Paper Mill.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Hi Tim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Just to confirm in writing, we require further evidence to satisfy a change in Flood Zone boundary. As such we must consider the site to lie within functional flood plain. As a result any development which is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not water compatible would place lives at risk and run contrary to the National Planning Policy Framework.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I hope this gives helpful clarity. We will continue to provide any advice that the developer wishes to seek to help reassess previous flood models. Please let me know if you need further information in the meantime.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Kind Regards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Frank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Frank Heeley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Sustainable Places Team Leader (Kent)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Kent &amp; South London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South East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Direct dial 020 84746691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Environment Agency, Orchard House, Endeavour Park, London, Addington, West Malling, Kent,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ME19 5SH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www.gov.uk/environment-agency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From: Timothy Bailey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Sent: 01 August 2016 10:56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To: Mortimer, Meriel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Subject: Chartham Paper Mill.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Dear Ms Mortimer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I understand that you have been involved in discussions about the potential development of land east of Chartham Paper Mill.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This site was discussed as an omission site at Canterbury’s EiP on 21 July. It performs well in the Sustainability Appraisal due to the fact that it is a brownfield site in a well serviced village. The main concern that Canterbury City Council has is its location in a functional floodplain (Flood Zone 3B)according to EA mapping.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At the EiP hearing sessions, the Agent representing ARJO Wiggins circulated the attached minutes from a meeting that took place last November.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The minutes state that Herrington Consulting (HC) had prepared a more detailed flood risk model using a reduced grid size and improved site specific topographical data. Their findings suggest that the site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actually falls outside the FFP and therefore should be classified as a Flood Risk Zone 3A. The EA agreed in principle that the methodology used and the findings of the site specific model were acceptable, although the EA modelling team would need to confirm this.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Do you know whether this has been confirmed yet and if so what the outcome was? The Inspector has asked us to try and get some clarity on EA’s position in regards to the flood risk associated with this site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before we reconvene in early September.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Thank-you for your time and I look forward to hearing from you.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Kind Regards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Timothy Bailey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Planning Policy Officer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Canterbury City Council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Tel: 01227 862 197</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www.canterbury.gov.uk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1440" w:top="1440" w:left="1334" w:right="133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