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t xml:space="preserve">Dear Angela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Thank you for sending through a link to the recent High Court ruling regarding air quality matters and asking whether we wish to make any representations in relation to this.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We have discussed this case with the air quality consultants at RPS who are acting for our client, O W Presland with regard to air quality matters relating to the proposed allocation of the site to the south of the John Wilson Business Park, Chestfield.  RPS have advised that they do not consider that this ruling would have any immediate implications with regard to the emerging Canterbury City Council Local Plan but they consider that this is a matter that can be best be addressed by Canterbury City Council’s legal team.</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With regards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Valerie Scott</w:t>
      </w:r>
    </w:p>
    <w:p w:rsidR="00000000" w:rsidDel="00000000" w:rsidP="00000000" w:rsidRDefault="00000000" w:rsidRPr="00000000" w14:paraId="0000000A">
      <w:pPr>
        <w:pageBreakBefore w:val="0"/>
        <w:rPr>
          <w:color w:val="1f497d"/>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